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03" w:rsidRDefault="00AB5003" w:rsidP="00AB500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w:instrText>
      </w:r>
      <w:r w:rsidRPr="00AB5003">
        <w:rPr>
          <w:rFonts w:ascii="Times New Roman" w:eastAsia="Times New Roman" w:hAnsi="Times New Roman" w:cs="Times New Roman"/>
          <w:sz w:val="24"/>
          <w:szCs w:val="24"/>
          <w:lang w:eastAsia="fr-FR"/>
        </w:rPr>
        <w:instrText>https://juridique.defenseurdesdroits.fr/index.php?lvl=notice_display&amp;id=23216</w:instrText>
      </w:r>
      <w:r>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r w:rsidRPr="00DB7354">
        <w:rPr>
          <w:rStyle w:val="Lienhypertexte"/>
          <w:rFonts w:ascii="Times New Roman" w:eastAsia="Times New Roman" w:hAnsi="Times New Roman" w:cs="Times New Roman"/>
          <w:sz w:val="24"/>
          <w:szCs w:val="24"/>
          <w:lang w:eastAsia="fr-FR"/>
        </w:rPr>
        <w:t>https://juridique.defenseurdesdroits.fr/index.php?lvl=notice_display&amp;id=23216</w:t>
      </w:r>
      <w:r>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 xml:space="preserve"> </w:t>
      </w:r>
      <w:r w:rsidRPr="00AB500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Document diffusable </w:t>
      </w:r>
    </w:p>
    <w:tbl>
      <w:tblPr>
        <w:tblW w:w="0" w:type="auto"/>
        <w:tblCellSpacing w:w="15" w:type="dxa"/>
        <w:tblCellMar>
          <w:top w:w="15" w:type="dxa"/>
          <w:left w:w="15" w:type="dxa"/>
          <w:bottom w:w="15" w:type="dxa"/>
          <w:right w:w="15" w:type="dxa"/>
        </w:tblCellMar>
        <w:tblLook w:val="04A0"/>
      </w:tblPr>
      <w:tblGrid>
        <w:gridCol w:w="1672"/>
        <w:gridCol w:w="7490"/>
      </w:tblGrid>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Titre :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Règlement amiable RA-2017-164 du 14 novembre 2017 relatif à un refus d’attribution de l'</w:t>
            </w:r>
            <w:proofErr w:type="spellStart"/>
            <w:r w:rsidRPr="00AB5003">
              <w:rPr>
                <w:rFonts w:ascii="Times New Roman" w:eastAsia="Times New Roman" w:hAnsi="Times New Roman" w:cs="Times New Roman"/>
                <w:sz w:val="24"/>
                <w:szCs w:val="24"/>
                <w:lang w:eastAsia="fr-FR"/>
              </w:rPr>
              <w:t>Aspa</w:t>
            </w:r>
            <w:proofErr w:type="spellEnd"/>
            <w:r w:rsidRPr="00AB5003">
              <w:rPr>
                <w:rFonts w:ascii="Times New Roman" w:eastAsia="Times New Roman" w:hAnsi="Times New Roman" w:cs="Times New Roman"/>
                <w:sz w:val="24"/>
                <w:szCs w:val="24"/>
                <w:lang w:eastAsia="fr-FR"/>
              </w:rPr>
              <w:t xml:space="preserve"> au motif que la condition de la stabilité de la résidence n’est pas remplie. </w:t>
            </w:r>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Auteurs :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hyperlink r:id="rId4" w:tooltip="Défenseur des Droits" w:history="1">
              <w:r w:rsidRPr="00AB5003">
                <w:rPr>
                  <w:rFonts w:ascii="Times New Roman" w:eastAsia="Times New Roman" w:hAnsi="Times New Roman" w:cs="Times New Roman"/>
                  <w:color w:val="0000FF"/>
                  <w:sz w:val="24"/>
                  <w:szCs w:val="24"/>
                  <w:u w:val="single"/>
                  <w:lang w:eastAsia="fr-FR"/>
                </w:rPr>
                <w:t>Défenseur des Droits</w:t>
              </w:r>
            </w:hyperlink>
            <w:r w:rsidRPr="00AB5003">
              <w:rPr>
                <w:rFonts w:ascii="Times New Roman" w:eastAsia="Times New Roman" w:hAnsi="Times New Roman" w:cs="Times New Roman"/>
                <w:sz w:val="24"/>
                <w:szCs w:val="24"/>
                <w:lang w:eastAsia="fr-FR"/>
              </w:rPr>
              <w:t xml:space="preserve">, Auteur ; </w:t>
            </w:r>
            <w:hyperlink r:id="rId5" w:tooltip="Défenseur des droits, Protection sociale et solidarité" w:history="1">
              <w:r w:rsidRPr="00AB5003">
                <w:rPr>
                  <w:rFonts w:ascii="Times New Roman" w:eastAsia="Times New Roman" w:hAnsi="Times New Roman" w:cs="Times New Roman"/>
                  <w:color w:val="0000FF"/>
                  <w:sz w:val="24"/>
                  <w:szCs w:val="24"/>
                  <w:u w:val="single"/>
                  <w:lang w:eastAsia="fr-FR"/>
                </w:rPr>
                <w:t>Défenseur des droits, Protection sociale et solidarité</w:t>
              </w:r>
            </w:hyperlink>
            <w:r w:rsidRPr="00AB5003">
              <w:rPr>
                <w:rFonts w:ascii="Times New Roman" w:eastAsia="Times New Roman" w:hAnsi="Times New Roman" w:cs="Times New Roman"/>
                <w:sz w:val="24"/>
                <w:szCs w:val="24"/>
                <w:lang w:eastAsia="fr-FR"/>
              </w:rPr>
              <w:t xml:space="preserve">, Auteur </w:t>
            </w:r>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Type de document :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Règlements amiables </w:t>
            </w:r>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Année de publication :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14/11/2017 </w:t>
            </w:r>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Numéro de décision ou d'affaire :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RA-2017-164 </w:t>
            </w:r>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Langues: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Français </w:t>
            </w:r>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 </w:t>
            </w:r>
          </w:p>
        </w:tc>
        <w:tc>
          <w:tcPr>
            <w:tcW w:w="0" w:type="auto"/>
            <w:vAlign w:val="center"/>
            <w:hideMark/>
          </w:tcPr>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[Documents internes] </w:t>
            </w:r>
            <w:hyperlink r:id="rId6" w:history="1">
              <w:r w:rsidRPr="00AB5003">
                <w:rPr>
                  <w:rFonts w:ascii="Times New Roman" w:eastAsia="Times New Roman" w:hAnsi="Times New Roman" w:cs="Times New Roman"/>
                  <w:color w:val="0000FF"/>
                  <w:sz w:val="24"/>
                  <w:szCs w:val="24"/>
                  <w:u w:val="single"/>
                  <w:lang w:eastAsia="fr-FR"/>
                </w:rPr>
                <w:t>Règlement amiable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[Documents internes] </w:t>
            </w:r>
            <w:hyperlink r:id="rId7" w:history="1">
              <w:r w:rsidRPr="00AB5003">
                <w:rPr>
                  <w:rFonts w:ascii="Times New Roman" w:eastAsia="Times New Roman" w:hAnsi="Times New Roman" w:cs="Times New Roman"/>
                  <w:color w:val="0000FF"/>
                  <w:sz w:val="24"/>
                  <w:szCs w:val="24"/>
                  <w:u w:val="single"/>
                  <w:lang w:eastAsia="fr-FR"/>
                </w:rPr>
                <w:t>Règlement amiable réussi</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[Documents internes] </w:t>
            </w:r>
            <w:hyperlink r:id="rId8" w:history="1">
              <w:r w:rsidRPr="00AB5003">
                <w:rPr>
                  <w:rFonts w:ascii="Times New Roman" w:eastAsia="Times New Roman" w:hAnsi="Times New Roman" w:cs="Times New Roman"/>
                  <w:color w:val="0000FF"/>
                  <w:sz w:val="24"/>
                  <w:szCs w:val="24"/>
                  <w:u w:val="single"/>
                  <w:lang w:eastAsia="fr-FR"/>
                </w:rPr>
                <w:t>Pas de suite attendue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9" w:history="1">
              <w:r w:rsidRPr="00AB5003">
                <w:rPr>
                  <w:rFonts w:ascii="Times New Roman" w:eastAsia="Times New Roman" w:hAnsi="Times New Roman" w:cs="Times New Roman"/>
                  <w:color w:val="0000FF"/>
                  <w:sz w:val="24"/>
                  <w:szCs w:val="24"/>
                  <w:u w:val="single"/>
                  <w:lang w:eastAsia="fr-FR"/>
                </w:rPr>
                <w:t>Protection et sécurité sociale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0" w:history="1">
              <w:r w:rsidRPr="00AB5003">
                <w:rPr>
                  <w:rFonts w:ascii="Times New Roman" w:eastAsia="Times New Roman" w:hAnsi="Times New Roman" w:cs="Times New Roman"/>
                  <w:color w:val="0000FF"/>
                  <w:sz w:val="24"/>
                  <w:szCs w:val="24"/>
                  <w:u w:val="single"/>
                  <w:lang w:eastAsia="fr-FR"/>
                </w:rPr>
                <w:t>Aide sociale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1" w:history="1">
              <w:r w:rsidRPr="00AB5003">
                <w:rPr>
                  <w:rFonts w:ascii="Times New Roman" w:eastAsia="Times New Roman" w:hAnsi="Times New Roman" w:cs="Times New Roman"/>
                  <w:color w:val="0000FF"/>
                  <w:sz w:val="24"/>
                  <w:szCs w:val="24"/>
                  <w:u w:val="single"/>
                  <w:lang w:eastAsia="fr-FR"/>
                </w:rPr>
                <w:t>Allocation de solidarité aux personnes âgées (ASPA)</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2" w:history="1">
              <w:r w:rsidRPr="00AB5003">
                <w:rPr>
                  <w:rFonts w:ascii="Times New Roman" w:eastAsia="Times New Roman" w:hAnsi="Times New Roman" w:cs="Times New Roman"/>
                  <w:color w:val="0000FF"/>
                  <w:sz w:val="24"/>
                  <w:szCs w:val="24"/>
                  <w:u w:val="single"/>
                  <w:lang w:eastAsia="fr-FR"/>
                </w:rPr>
                <w:t>Personne âgée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3" w:history="1">
              <w:r w:rsidRPr="00AB5003">
                <w:rPr>
                  <w:rFonts w:ascii="Times New Roman" w:eastAsia="Times New Roman" w:hAnsi="Times New Roman" w:cs="Times New Roman"/>
                  <w:color w:val="0000FF"/>
                  <w:sz w:val="24"/>
                  <w:szCs w:val="24"/>
                  <w:u w:val="single"/>
                  <w:lang w:eastAsia="fr-FR"/>
                </w:rPr>
                <w:t>Retraite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4" w:history="1">
              <w:r w:rsidRPr="00AB5003">
                <w:rPr>
                  <w:rFonts w:ascii="Times New Roman" w:eastAsia="Times New Roman" w:hAnsi="Times New Roman" w:cs="Times New Roman"/>
                  <w:color w:val="0000FF"/>
                  <w:sz w:val="24"/>
                  <w:szCs w:val="24"/>
                  <w:u w:val="single"/>
                  <w:lang w:eastAsia="fr-FR"/>
                </w:rPr>
                <w:t>Logement</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5" w:history="1">
              <w:r w:rsidRPr="00AB5003">
                <w:rPr>
                  <w:rFonts w:ascii="Times New Roman" w:eastAsia="Times New Roman" w:hAnsi="Times New Roman" w:cs="Times New Roman"/>
                  <w:color w:val="0000FF"/>
                  <w:sz w:val="24"/>
                  <w:szCs w:val="24"/>
                  <w:u w:val="single"/>
                  <w:lang w:eastAsia="fr-FR"/>
                </w:rPr>
                <w:t>Domicile</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6" w:history="1">
              <w:r w:rsidRPr="00AB5003">
                <w:rPr>
                  <w:rFonts w:ascii="Times New Roman" w:eastAsia="Times New Roman" w:hAnsi="Times New Roman" w:cs="Times New Roman"/>
                  <w:color w:val="0000FF"/>
                  <w:sz w:val="24"/>
                  <w:szCs w:val="24"/>
                  <w:u w:val="single"/>
                  <w:lang w:eastAsia="fr-FR"/>
                </w:rPr>
                <w:t>Sans domicile fixe (SDF)</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7" w:history="1">
              <w:r w:rsidRPr="00AB5003">
                <w:rPr>
                  <w:rFonts w:ascii="Times New Roman" w:eastAsia="Times New Roman" w:hAnsi="Times New Roman" w:cs="Times New Roman"/>
                  <w:color w:val="0000FF"/>
                  <w:sz w:val="24"/>
                  <w:szCs w:val="24"/>
                  <w:u w:val="single"/>
                  <w:lang w:eastAsia="fr-FR"/>
                </w:rPr>
                <w:t>Relation des usagers avec les services publics</w:t>
              </w:r>
            </w:hyperlink>
          </w:p>
          <w:p w:rsidR="00AB5003" w:rsidRPr="00AB5003" w:rsidRDefault="00AB5003" w:rsidP="00AB5003">
            <w:pPr>
              <w:spacing w:before="100" w:beforeAutospacing="1" w:after="100" w:afterAutospacing="1"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[Mots-clés] </w:t>
            </w:r>
            <w:hyperlink r:id="rId18" w:history="1">
              <w:r w:rsidRPr="00AB5003">
                <w:rPr>
                  <w:rFonts w:ascii="Times New Roman" w:eastAsia="Times New Roman" w:hAnsi="Times New Roman" w:cs="Times New Roman"/>
                  <w:color w:val="0000FF"/>
                  <w:sz w:val="24"/>
                  <w:szCs w:val="24"/>
                  <w:u w:val="single"/>
                  <w:lang w:eastAsia="fr-FR"/>
                </w:rPr>
                <w:t>Communication avec les services publics</w:t>
              </w:r>
            </w:hyperlink>
          </w:p>
        </w:tc>
      </w:tr>
      <w:tr w:rsidR="00AB5003" w:rsidRPr="00AB5003" w:rsidTr="00AB5003">
        <w:trPr>
          <w:tblCellSpacing w:w="15" w:type="dxa"/>
        </w:trPr>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 xml:space="preserve">Résumé : </w:t>
            </w:r>
          </w:p>
        </w:tc>
        <w:tc>
          <w:tcPr>
            <w:tcW w:w="0" w:type="auto"/>
            <w:vAlign w:val="center"/>
            <w:hideMark/>
          </w:tcPr>
          <w:p w:rsidR="00AB5003" w:rsidRPr="00AB5003" w:rsidRDefault="00AB5003" w:rsidP="00AB5003">
            <w:pPr>
              <w:spacing w:after="0" w:line="240" w:lineRule="auto"/>
              <w:rPr>
                <w:rFonts w:ascii="Times New Roman" w:eastAsia="Times New Roman" w:hAnsi="Times New Roman" w:cs="Times New Roman"/>
                <w:sz w:val="24"/>
                <w:szCs w:val="24"/>
                <w:lang w:eastAsia="fr-FR"/>
              </w:rPr>
            </w:pPr>
            <w:r w:rsidRPr="00AB5003">
              <w:rPr>
                <w:rFonts w:ascii="Times New Roman" w:eastAsia="Times New Roman" w:hAnsi="Times New Roman" w:cs="Times New Roman"/>
                <w:sz w:val="24"/>
                <w:szCs w:val="24"/>
                <w:lang w:eastAsia="fr-FR"/>
              </w:rPr>
              <w:t>Monsieur G. a formulé, le 19 juillet 2016, une demande d’</w:t>
            </w:r>
            <w:proofErr w:type="spellStart"/>
            <w:r w:rsidRPr="00AB5003">
              <w:rPr>
                <w:rFonts w:ascii="Times New Roman" w:eastAsia="Times New Roman" w:hAnsi="Times New Roman" w:cs="Times New Roman"/>
                <w:sz w:val="24"/>
                <w:szCs w:val="24"/>
                <w:lang w:eastAsia="fr-FR"/>
              </w:rPr>
              <w:t>Aspa</w:t>
            </w:r>
            <w:proofErr w:type="spellEnd"/>
            <w:r w:rsidRPr="00AB5003">
              <w:rPr>
                <w:rFonts w:ascii="Times New Roman" w:eastAsia="Times New Roman" w:hAnsi="Times New Roman" w:cs="Times New Roman"/>
                <w:sz w:val="24"/>
                <w:szCs w:val="24"/>
                <w:lang w:eastAsia="fr-FR"/>
              </w:rPr>
              <w:t xml:space="preserve">. La caisse lui a opposé un refus au motif qu’il n’avait pas fourni le document justifiant de la stabilité de sa résidence en France, alors qu’il bénéficie d’une résidence administrative au sein de la Croix-Rouge française. </w:t>
            </w:r>
            <w:r w:rsidRPr="00AB5003">
              <w:rPr>
                <w:rFonts w:ascii="Times New Roman" w:eastAsia="Times New Roman" w:hAnsi="Times New Roman" w:cs="Times New Roman"/>
                <w:sz w:val="24"/>
                <w:szCs w:val="24"/>
                <w:lang w:eastAsia="fr-FR"/>
              </w:rPr>
              <w:br/>
            </w:r>
            <w:r w:rsidRPr="00AB5003">
              <w:rPr>
                <w:rFonts w:ascii="Times New Roman" w:eastAsia="Times New Roman" w:hAnsi="Times New Roman" w:cs="Times New Roman"/>
                <w:sz w:val="24"/>
                <w:szCs w:val="24"/>
                <w:lang w:eastAsia="fr-FR"/>
              </w:rPr>
              <w:br/>
              <w:t xml:space="preserve">Le Défenseur des droits a demandé un réexamen de la situation de Monsieur </w:t>
            </w:r>
            <w:r w:rsidRPr="00AB5003">
              <w:rPr>
                <w:rFonts w:ascii="Times New Roman" w:eastAsia="Times New Roman" w:hAnsi="Times New Roman" w:cs="Times New Roman"/>
                <w:sz w:val="24"/>
                <w:szCs w:val="24"/>
                <w:lang w:eastAsia="fr-FR"/>
              </w:rPr>
              <w:lastRenderedPageBreak/>
              <w:t xml:space="preserve">G., en faisant valoir la circulaire </w:t>
            </w:r>
            <w:proofErr w:type="spellStart"/>
            <w:r w:rsidRPr="00AB5003">
              <w:rPr>
                <w:rFonts w:ascii="Times New Roman" w:eastAsia="Times New Roman" w:hAnsi="Times New Roman" w:cs="Times New Roman"/>
                <w:sz w:val="24"/>
                <w:szCs w:val="24"/>
                <w:lang w:eastAsia="fr-FR"/>
              </w:rPr>
              <w:t>Cnav</w:t>
            </w:r>
            <w:proofErr w:type="spellEnd"/>
            <w:r w:rsidRPr="00AB5003">
              <w:rPr>
                <w:rFonts w:ascii="Times New Roman" w:eastAsia="Times New Roman" w:hAnsi="Times New Roman" w:cs="Times New Roman"/>
                <w:sz w:val="24"/>
                <w:szCs w:val="24"/>
                <w:lang w:eastAsia="fr-FR"/>
              </w:rPr>
              <w:t xml:space="preserve"> n° 2010/49 du 6 mai 2010, qui indique que le demandeur doit produire des documents qui prouvent sa résidence en France et notamment un avis d'impôt et une attestation d'hébergement. Le texte précise que les personnes hébergées, les résidents dans un foyer de travailleurs, en résidences sociales, à l'hôtel ou sans domicile fixe doivent produire une déclaration sur l'honneur. L'attestation d'élection de domicile unique délivrée aux personnes sans domicile stable est également retenue. En vertu de cette circulaire, les services du Défenseur des droits ont communiqué à la caisse l’avis d’imposition, l’attestation sur l’honneur de la Croix Rouge française, ainsi qu’une attestation d’élection de domicile, faisant apparaître que Monsieur G. est domicilié au sein de cette association depuis août 2014. </w:t>
            </w:r>
            <w:r w:rsidRPr="00AB5003">
              <w:rPr>
                <w:rFonts w:ascii="Times New Roman" w:eastAsia="Times New Roman" w:hAnsi="Times New Roman" w:cs="Times New Roman"/>
                <w:sz w:val="24"/>
                <w:szCs w:val="24"/>
                <w:lang w:eastAsia="fr-FR"/>
              </w:rPr>
              <w:br/>
            </w:r>
            <w:r w:rsidRPr="00AB5003">
              <w:rPr>
                <w:rFonts w:ascii="Times New Roman" w:eastAsia="Times New Roman" w:hAnsi="Times New Roman" w:cs="Times New Roman"/>
                <w:sz w:val="24"/>
                <w:szCs w:val="24"/>
                <w:lang w:eastAsia="fr-FR"/>
              </w:rPr>
              <w:br/>
              <w:t>La caisse de retraite a procédé à la liquidation de la prestation et a versé un rappel d’</w:t>
            </w:r>
            <w:proofErr w:type="spellStart"/>
            <w:r w:rsidRPr="00AB5003">
              <w:rPr>
                <w:rFonts w:ascii="Times New Roman" w:eastAsia="Times New Roman" w:hAnsi="Times New Roman" w:cs="Times New Roman"/>
                <w:sz w:val="24"/>
                <w:szCs w:val="24"/>
                <w:lang w:eastAsia="fr-FR"/>
              </w:rPr>
              <w:t>Aspa</w:t>
            </w:r>
            <w:proofErr w:type="spellEnd"/>
            <w:r w:rsidRPr="00AB5003">
              <w:rPr>
                <w:rFonts w:ascii="Times New Roman" w:eastAsia="Times New Roman" w:hAnsi="Times New Roman" w:cs="Times New Roman"/>
                <w:sz w:val="24"/>
                <w:szCs w:val="24"/>
                <w:lang w:eastAsia="fr-FR"/>
              </w:rPr>
              <w:t>, correspondant à la période de mai 2016 à septembre 2017.</w:t>
            </w:r>
          </w:p>
        </w:tc>
      </w:tr>
    </w:tbl>
    <w:p w:rsidR="000D3776" w:rsidRDefault="000D3776" w:rsidP="00AB5003"/>
    <w:sectPr w:rsidR="000D3776" w:rsidSect="00EB0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776"/>
    <w:rsid w:val="000D3776"/>
    <w:rsid w:val="009B08EA"/>
    <w:rsid w:val="00AB5003"/>
    <w:rsid w:val="00EB0C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776"/>
    <w:rPr>
      <w:color w:val="0000FF"/>
      <w:u w:val="single"/>
    </w:rPr>
  </w:style>
  <w:style w:type="paragraph" w:styleId="NormalWeb">
    <w:name w:val="Normal (Web)"/>
    <w:basedOn w:val="Normal"/>
    <w:uiPriority w:val="99"/>
    <w:unhideWhenUsed/>
    <w:rsid w:val="000D37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belstatutnot">
    <w:name w:val="labelstatutnot"/>
    <w:basedOn w:val="Policepardfaut"/>
    <w:rsid w:val="00AB5003"/>
  </w:style>
</w:styles>
</file>

<file path=word/webSettings.xml><?xml version="1.0" encoding="utf-8"?>
<w:webSettings xmlns:r="http://schemas.openxmlformats.org/officeDocument/2006/relationships" xmlns:w="http://schemas.openxmlformats.org/wordprocessingml/2006/main">
  <w:divs>
    <w:div w:id="143200507">
      <w:bodyDiv w:val="1"/>
      <w:marLeft w:val="0"/>
      <w:marRight w:val="0"/>
      <w:marTop w:val="0"/>
      <w:marBottom w:val="0"/>
      <w:divBdr>
        <w:top w:val="none" w:sz="0" w:space="0" w:color="auto"/>
        <w:left w:val="none" w:sz="0" w:space="0" w:color="auto"/>
        <w:bottom w:val="none" w:sz="0" w:space="0" w:color="auto"/>
        <w:right w:val="none" w:sz="0" w:space="0" w:color="auto"/>
      </w:divBdr>
    </w:div>
    <w:div w:id="731775951">
      <w:bodyDiv w:val="1"/>
      <w:marLeft w:val="0"/>
      <w:marRight w:val="0"/>
      <w:marTop w:val="0"/>
      <w:marBottom w:val="0"/>
      <w:divBdr>
        <w:top w:val="none" w:sz="0" w:space="0" w:color="auto"/>
        <w:left w:val="none" w:sz="0" w:space="0" w:color="auto"/>
        <w:bottom w:val="none" w:sz="0" w:space="0" w:color="auto"/>
        <w:right w:val="none" w:sz="0" w:space="0" w:color="auto"/>
      </w:divBdr>
    </w:div>
    <w:div w:id="1073235448">
      <w:bodyDiv w:val="1"/>
      <w:marLeft w:val="0"/>
      <w:marRight w:val="0"/>
      <w:marTop w:val="0"/>
      <w:marBottom w:val="0"/>
      <w:divBdr>
        <w:top w:val="none" w:sz="0" w:space="0" w:color="auto"/>
        <w:left w:val="none" w:sz="0" w:space="0" w:color="auto"/>
        <w:bottom w:val="none" w:sz="0" w:space="0" w:color="auto"/>
        <w:right w:val="none" w:sz="0" w:space="0" w:color="auto"/>
      </w:divBdr>
      <w:divsChild>
        <w:div w:id="137264632">
          <w:marLeft w:val="0"/>
          <w:marRight w:val="0"/>
          <w:marTop w:val="0"/>
          <w:marBottom w:val="0"/>
          <w:divBdr>
            <w:top w:val="none" w:sz="0" w:space="0" w:color="auto"/>
            <w:left w:val="none" w:sz="0" w:space="0" w:color="auto"/>
            <w:bottom w:val="none" w:sz="0" w:space="0" w:color="auto"/>
            <w:right w:val="none" w:sz="0" w:space="0" w:color="auto"/>
          </w:divBdr>
          <w:divsChild>
            <w:div w:id="463237305">
              <w:marLeft w:val="0"/>
              <w:marRight w:val="0"/>
              <w:marTop w:val="0"/>
              <w:marBottom w:val="0"/>
              <w:divBdr>
                <w:top w:val="none" w:sz="0" w:space="0" w:color="auto"/>
                <w:left w:val="none" w:sz="0" w:space="0" w:color="auto"/>
                <w:bottom w:val="none" w:sz="0" w:space="0" w:color="auto"/>
                <w:right w:val="none" w:sz="0" w:space="0" w:color="auto"/>
              </w:divBdr>
              <w:divsChild>
                <w:div w:id="2142264754">
                  <w:marLeft w:val="0"/>
                  <w:marRight w:val="0"/>
                  <w:marTop w:val="0"/>
                  <w:marBottom w:val="0"/>
                  <w:divBdr>
                    <w:top w:val="none" w:sz="0" w:space="0" w:color="auto"/>
                    <w:left w:val="none" w:sz="0" w:space="0" w:color="auto"/>
                    <w:bottom w:val="none" w:sz="0" w:space="0" w:color="auto"/>
                    <w:right w:val="none" w:sz="0" w:space="0" w:color="auto"/>
                  </w:divBdr>
                  <w:divsChild>
                    <w:div w:id="763039958">
                      <w:marLeft w:val="0"/>
                      <w:marRight w:val="0"/>
                      <w:marTop w:val="0"/>
                      <w:marBottom w:val="0"/>
                      <w:divBdr>
                        <w:top w:val="none" w:sz="0" w:space="0" w:color="auto"/>
                        <w:left w:val="none" w:sz="0" w:space="0" w:color="auto"/>
                        <w:bottom w:val="none" w:sz="0" w:space="0" w:color="auto"/>
                        <w:right w:val="none" w:sz="0" w:space="0" w:color="auto"/>
                      </w:divBdr>
                      <w:divsChild>
                        <w:div w:id="1690524873">
                          <w:marLeft w:val="0"/>
                          <w:marRight w:val="0"/>
                          <w:marTop w:val="0"/>
                          <w:marBottom w:val="0"/>
                          <w:divBdr>
                            <w:top w:val="none" w:sz="0" w:space="0" w:color="auto"/>
                            <w:left w:val="none" w:sz="0" w:space="0" w:color="auto"/>
                            <w:bottom w:val="none" w:sz="0" w:space="0" w:color="auto"/>
                            <w:right w:val="none" w:sz="0" w:space="0" w:color="auto"/>
                          </w:divBdr>
                          <w:divsChild>
                            <w:div w:id="597104731">
                              <w:marLeft w:val="0"/>
                              <w:marRight w:val="0"/>
                              <w:marTop w:val="0"/>
                              <w:marBottom w:val="0"/>
                              <w:divBdr>
                                <w:top w:val="none" w:sz="0" w:space="0" w:color="auto"/>
                                <w:left w:val="none" w:sz="0" w:space="0" w:color="auto"/>
                                <w:bottom w:val="none" w:sz="0" w:space="0" w:color="auto"/>
                                <w:right w:val="none" w:sz="0" w:space="0" w:color="auto"/>
                              </w:divBdr>
                              <w:divsChild>
                                <w:div w:id="2125152192">
                                  <w:marLeft w:val="0"/>
                                  <w:marRight w:val="0"/>
                                  <w:marTop w:val="0"/>
                                  <w:marBottom w:val="0"/>
                                  <w:divBdr>
                                    <w:top w:val="none" w:sz="0" w:space="0" w:color="auto"/>
                                    <w:left w:val="none" w:sz="0" w:space="0" w:color="auto"/>
                                    <w:bottom w:val="none" w:sz="0" w:space="0" w:color="auto"/>
                                    <w:right w:val="none" w:sz="0" w:space="0" w:color="auto"/>
                                  </w:divBdr>
                                  <w:divsChild>
                                    <w:div w:id="1030716391">
                                      <w:marLeft w:val="0"/>
                                      <w:marRight w:val="0"/>
                                      <w:marTop w:val="0"/>
                                      <w:marBottom w:val="0"/>
                                      <w:divBdr>
                                        <w:top w:val="none" w:sz="0" w:space="0" w:color="auto"/>
                                        <w:left w:val="none" w:sz="0" w:space="0" w:color="auto"/>
                                        <w:bottom w:val="none" w:sz="0" w:space="0" w:color="auto"/>
                                        <w:right w:val="none" w:sz="0" w:space="0" w:color="auto"/>
                                      </w:divBdr>
                                    </w:div>
                                  </w:divsChild>
                                </w:div>
                                <w:div w:id="921378889">
                                  <w:marLeft w:val="0"/>
                                  <w:marRight w:val="0"/>
                                  <w:marTop w:val="0"/>
                                  <w:marBottom w:val="0"/>
                                  <w:divBdr>
                                    <w:top w:val="none" w:sz="0" w:space="0" w:color="auto"/>
                                    <w:left w:val="none" w:sz="0" w:space="0" w:color="auto"/>
                                    <w:bottom w:val="none" w:sz="0" w:space="0" w:color="auto"/>
                                    <w:right w:val="none" w:sz="0" w:space="0" w:color="auto"/>
                                  </w:divBdr>
                                </w:div>
                              </w:divsChild>
                            </w:div>
                            <w:div w:id="19084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dique.defenseurdesdroits.fr/index.php?lvl=categ_see&amp;id=5080" TargetMode="External"/><Relationship Id="rId13" Type="http://schemas.openxmlformats.org/officeDocument/2006/relationships/hyperlink" Target="https://juridique.defenseurdesdroits.fr/index.php?lvl=categ_see&amp;id=4326" TargetMode="External"/><Relationship Id="rId18" Type="http://schemas.openxmlformats.org/officeDocument/2006/relationships/hyperlink" Target="https://juridique.defenseurdesdroits.fr/index.php?lvl=categ_see&amp;id=4031" TargetMode="External"/><Relationship Id="rId3" Type="http://schemas.openxmlformats.org/officeDocument/2006/relationships/webSettings" Target="webSettings.xml"/><Relationship Id="rId7" Type="http://schemas.openxmlformats.org/officeDocument/2006/relationships/hyperlink" Target="https://juridique.defenseurdesdroits.fr/index.php?lvl=categ_see&amp;id=5079" TargetMode="External"/><Relationship Id="rId12" Type="http://schemas.openxmlformats.org/officeDocument/2006/relationships/hyperlink" Target="https://juridique.defenseurdesdroits.fr/index.php?lvl=categ_see&amp;id=3760" TargetMode="External"/><Relationship Id="rId17" Type="http://schemas.openxmlformats.org/officeDocument/2006/relationships/hyperlink" Target="https://juridique.defenseurdesdroits.fr/index.php?lvl=categ_see&amp;id=4030" TargetMode="External"/><Relationship Id="rId2" Type="http://schemas.openxmlformats.org/officeDocument/2006/relationships/settings" Target="settings.xml"/><Relationship Id="rId16" Type="http://schemas.openxmlformats.org/officeDocument/2006/relationships/hyperlink" Target="https://juridique.defenseurdesdroits.fr/index.php?lvl=categ_see&amp;id=377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uridique.defenseurdesdroits.fr/index.php?lvl=categ_see&amp;id=888" TargetMode="External"/><Relationship Id="rId11" Type="http://schemas.openxmlformats.org/officeDocument/2006/relationships/hyperlink" Target="https://juridique.defenseurdesdroits.fr/index.php?lvl=categ_see&amp;id=4528" TargetMode="External"/><Relationship Id="rId5" Type="http://schemas.openxmlformats.org/officeDocument/2006/relationships/hyperlink" Target="https://juridique.defenseurdesdroits.fr/index.php?lvl=author_see&amp;id=4367" TargetMode="External"/><Relationship Id="rId15" Type="http://schemas.openxmlformats.org/officeDocument/2006/relationships/hyperlink" Target="https://juridique.defenseurdesdroits.fr/index.php?lvl=categ_see&amp;id=4804" TargetMode="External"/><Relationship Id="rId10" Type="http://schemas.openxmlformats.org/officeDocument/2006/relationships/hyperlink" Target="https://juridique.defenseurdesdroits.fr/index.php?lvl=categ_see&amp;id=4477" TargetMode="External"/><Relationship Id="rId19" Type="http://schemas.openxmlformats.org/officeDocument/2006/relationships/fontTable" Target="fontTable.xml"/><Relationship Id="rId4" Type="http://schemas.openxmlformats.org/officeDocument/2006/relationships/hyperlink" Target="https://juridique.defenseurdesdroits.fr/index.php?lvl=author_see&amp;id=39" TargetMode="External"/><Relationship Id="rId9" Type="http://schemas.openxmlformats.org/officeDocument/2006/relationships/hyperlink" Target="https://juridique.defenseurdesdroits.fr/index.php?lvl=categ_see&amp;id=4473" TargetMode="External"/><Relationship Id="rId14" Type="http://schemas.openxmlformats.org/officeDocument/2006/relationships/hyperlink" Target="https://juridique.defenseurdesdroits.fr/index.php?lvl=categ_see&amp;id=37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2018-04-20T08:41:00Z</dcterms:created>
  <dcterms:modified xsi:type="dcterms:W3CDTF">2018-04-20T08:41:00Z</dcterms:modified>
</cp:coreProperties>
</file>