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4CE2" w14:textId="77777777" w:rsidR="00296544" w:rsidRPr="00296544" w:rsidRDefault="00296544" w:rsidP="00296544">
      <w:pPr>
        <w:jc w:val="center"/>
        <w:rPr>
          <w:b/>
          <w:bCs/>
          <w:sz w:val="28"/>
          <w:szCs w:val="28"/>
        </w:rPr>
      </w:pPr>
      <w:r w:rsidRPr="00296544">
        <w:rPr>
          <w:b/>
          <w:bCs/>
          <w:sz w:val="28"/>
          <w:szCs w:val="28"/>
        </w:rPr>
        <w:t>Retraite et mobilité en Europe – principes et outils</w:t>
      </w:r>
    </w:p>
    <w:p w14:paraId="0E360516" w14:textId="03B8A7B1" w:rsidR="00296544" w:rsidRDefault="00296544" w:rsidP="00296544">
      <w:r>
        <w:t>Le dernier rapport statistique sur la mobilité intra-UE 2023 de la Commission européenne montre que l’augmentation de la mobilité en Europe, et donc des travailleurs ayant</w:t>
      </w:r>
      <w:r>
        <w:t xml:space="preserve"> </w:t>
      </w:r>
      <w:r>
        <w:t>cotisé dans plusieurs États membres, implique une hausse des bénéficiaires de retraites transfrontalières chaque année en Europe (UE/AELE). Les retraites exportées passent</w:t>
      </w:r>
      <w:r>
        <w:t xml:space="preserve"> </w:t>
      </w:r>
      <w:r>
        <w:t>ainsi de 18,02 milliards en 2018 à 22,08 milliards d’euros en 2021.</w:t>
      </w:r>
    </w:p>
    <w:p w14:paraId="44A99B9A" w14:textId="203839B9" w:rsidR="00296544" w:rsidRDefault="00296544" w:rsidP="00296544">
      <w:r>
        <w:t>Pour permettre cette exportation, l’UE a mis en place des règles et des outils permettant de prendre en compte les périodes effectuées dans différents États membres de</w:t>
      </w:r>
      <w:r>
        <w:t xml:space="preserve"> </w:t>
      </w:r>
      <w:r>
        <w:t>l’Union européenne. Retour dans cette page spéciale sur différents éléments.</w:t>
      </w:r>
    </w:p>
    <w:p w14:paraId="6B5357AE" w14:textId="695A3D6E" w:rsidR="00296544" w:rsidRPr="00296544" w:rsidRDefault="00296544" w:rsidP="00296544">
      <w:pPr>
        <w:rPr>
          <w:b/>
          <w:bCs/>
        </w:rPr>
      </w:pPr>
      <w:r w:rsidRPr="00296544">
        <w:rPr>
          <w:b/>
          <w:bCs/>
        </w:rPr>
        <w:t>Comment s’articulent les retraites en</w:t>
      </w:r>
      <w:r w:rsidRPr="00296544">
        <w:rPr>
          <w:b/>
          <w:bCs/>
        </w:rPr>
        <w:t xml:space="preserve"> </w:t>
      </w:r>
      <w:r w:rsidRPr="00296544">
        <w:rPr>
          <w:b/>
          <w:bCs/>
        </w:rPr>
        <w:t>Europe après avoir travaillé dans</w:t>
      </w:r>
      <w:r w:rsidRPr="00296544">
        <w:rPr>
          <w:b/>
          <w:bCs/>
        </w:rPr>
        <w:t xml:space="preserve"> </w:t>
      </w:r>
      <w:r w:rsidRPr="00296544">
        <w:rPr>
          <w:b/>
          <w:bCs/>
        </w:rPr>
        <w:t>plusieurs pays ?</w:t>
      </w:r>
    </w:p>
    <w:p w14:paraId="6D2E09C4" w14:textId="01CB0681" w:rsidR="00296544" w:rsidRDefault="00296544" w:rsidP="00296544">
      <w:r>
        <w:t>L’Union européenne et les pays de l’AELE (Islande,</w:t>
      </w:r>
      <w:r>
        <w:t xml:space="preserve"> </w:t>
      </w:r>
      <w:r>
        <w:t>Norvège, Liechtenstein et Suisse) encadrent la</w:t>
      </w:r>
      <w:r>
        <w:t xml:space="preserve"> </w:t>
      </w:r>
      <w:r>
        <w:t>mobilité des retraités et de leur famille à travers</w:t>
      </w:r>
      <w:r>
        <w:t xml:space="preserve"> </w:t>
      </w:r>
      <w:r>
        <w:t>plusieurs textes et principes.</w:t>
      </w:r>
    </w:p>
    <w:p w14:paraId="6E63761A" w14:textId="77777777" w:rsidR="00296544" w:rsidRPr="00296544" w:rsidRDefault="00296544" w:rsidP="00296544">
      <w:pPr>
        <w:rPr>
          <w:b/>
          <w:bCs/>
          <w:i/>
          <w:iCs/>
        </w:rPr>
      </w:pPr>
      <w:r w:rsidRPr="00296544">
        <w:rPr>
          <w:b/>
          <w:bCs/>
          <w:i/>
          <w:iCs/>
        </w:rPr>
        <w:t>Les textes européens encadrant l’exportation</w:t>
      </w:r>
      <w:r w:rsidRPr="00296544">
        <w:rPr>
          <w:b/>
          <w:bCs/>
          <w:i/>
          <w:iCs/>
        </w:rPr>
        <w:t xml:space="preserve"> </w:t>
      </w:r>
    </w:p>
    <w:p w14:paraId="7402D59A" w14:textId="4157DBF3" w:rsidR="00296544" w:rsidRDefault="00296544" w:rsidP="00296544">
      <w:r>
        <w:t>La prise en compte des périodes effectuées dans deux</w:t>
      </w:r>
      <w:r>
        <w:t xml:space="preserve"> </w:t>
      </w:r>
      <w:r>
        <w:t>ou plusieurs États membres est encadrée par les</w:t>
      </w:r>
      <w:r>
        <w:t xml:space="preserve"> </w:t>
      </w:r>
      <w:r>
        <w:t>règlements de coordination des systèmes de sécurité</w:t>
      </w:r>
      <w:r>
        <w:t xml:space="preserve"> </w:t>
      </w:r>
      <w:r>
        <w:t>sociale. Ces textes favorisent la mobilité des</w:t>
      </w:r>
      <w:r>
        <w:t xml:space="preserve"> </w:t>
      </w:r>
      <w:r>
        <w:t>travailleurs et de leur famille sans préjudice de leurs</w:t>
      </w:r>
      <w:r>
        <w:t xml:space="preserve"> </w:t>
      </w:r>
      <w:r>
        <w:t>futures retraites. De plus, les retraités pourront</w:t>
      </w:r>
      <w:r>
        <w:t xml:space="preserve"> </w:t>
      </w:r>
      <w:r>
        <w:t>percevoir leur pension quel que soit leur pays de</w:t>
      </w:r>
      <w:r>
        <w:t xml:space="preserve"> </w:t>
      </w:r>
      <w:r>
        <w:t>résidence.</w:t>
      </w:r>
    </w:p>
    <w:p w14:paraId="4E3D6690" w14:textId="25BF95D0" w:rsidR="00296544" w:rsidRDefault="00296544" w:rsidP="00296544">
      <w:r>
        <w:t>Ces règlements facilitent les échanges électroniques</w:t>
      </w:r>
      <w:r>
        <w:t xml:space="preserve"> </w:t>
      </w:r>
      <w:r>
        <w:t>entre les institutions de sécurité sociale à travers, par</w:t>
      </w:r>
      <w:r>
        <w:t xml:space="preserve"> </w:t>
      </w:r>
      <w:r>
        <w:t>exemple, EESSI et les échanges dématérialisés de</w:t>
      </w:r>
      <w:r>
        <w:t xml:space="preserve"> </w:t>
      </w:r>
      <w:r>
        <w:t>données d’état civil. Ces derniers ont été mis en place</w:t>
      </w:r>
      <w:r>
        <w:t xml:space="preserve"> </w:t>
      </w:r>
      <w:r>
        <w:t>par la Caisse nationale d’assurance vieillesse (</w:t>
      </w:r>
      <w:proofErr w:type="spellStart"/>
      <w:r>
        <w:t>Cnav</w:t>
      </w:r>
      <w:proofErr w:type="spellEnd"/>
      <w:r>
        <w:t>)</w:t>
      </w:r>
      <w:r>
        <w:t xml:space="preserve"> </w:t>
      </w:r>
      <w:r>
        <w:t>avec l’Allemagne, la Belgique, le Luxembourg.</w:t>
      </w:r>
      <w:r>
        <w:t xml:space="preserve"> </w:t>
      </w:r>
    </w:p>
    <w:p w14:paraId="6F87941D" w14:textId="76E79EA2" w:rsidR="00296544" w:rsidRDefault="00296544" w:rsidP="00296544">
      <w:r>
        <w:t>Les bénéficiaires de ces règles sont les travailleurs</w:t>
      </w:r>
      <w:r>
        <w:t xml:space="preserve"> </w:t>
      </w:r>
      <w:r>
        <w:t>salariés, les conjoints survivants de ces travailleurs,</w:t>
      </w:r>
      <w:r>
        <w:t xml:space="preserve"> </w:t>
      </w:r>
      <w:r>
        <w:t>les travailleurs non-salariés, les fonctionnaires ou</w:t>
      </w:r>
      <w:r>
        <w:t xml:space="preserve"> </w:t>
      </w:r>
      <w:r>
        <w:t>encore les membres des familles qui ont été soumis</w:t>
      </w:r>
      <w:r>
        <w:t xml:space="preserve"> </w:t>
      </w:r>
      <w:r>
        <w:t>à la législation d’un ou plusieurs États membres et</w:t>
      </w:r>
      <w:r>
        <w:t xml:space="preserve"> </w:t>
      </w:r>
      <w:r>
        <w:t>qui sont ressortissants, apatrides ou réfugiés dans</w:t>
      </w:r>
      <w:r>
        <w:t xml:space="preserve"> </w:t>
      </w:r>
      <w:r>
        <w:t>l’un des États couverts.</w:t>
      </w:r>
    </w:p>
    <w:p w14:paraId="7ED73C5E" w14:textId="44C144B2" w:rsidR="00296544" w:rsidRDefault="00296544" w:rsidP="00296544">
      <w:r>
        <w:t>Une directive (98/49/CE) vient compléter ces règles</w:t>
      </w:r>
      <w:r>
        <w:t xml:space="preserve"> </w:t>
      </w:r>
      <w:r>
        <w:t>qui valent pour les régimes généraux en couvrant les</w:t>
      </w:r>
      <w:r>
        <w:t xml:space="preserve"> </w:t>
      </w:r>
      <w:r>
        <w:t>pensions complémentaires pour que les droits</w:t>
      </w:r>
      <w:r>
        <w:t xml:space="preserve"> </w:t>
      </w:r>
      <w:r>
        <w:t>acquis dans différents pays européens soient bien</w:t>
      </w:r>
      <w:r>
        <w:t xml:space="preserve"> </w:t>
      </w:r>
      <w:r>
        <w:t>sauvegardés.</w:t>
      </w:r>
    </w:p>
    <w:p w14:paraId="348A9041" w14:textId="73B94036" w:rsidR="00296544" w:rsidRDefault="00296544" w:rsidP="00296544">
      <w:r>
        <w:t>Une autre directive (2014/50/UE) impose des</w:t>
      </w:r>
      <w:r>
        <w:t xml:space="preserve"> </w:t>
      </w:r>
      <w:r>
        <w:t>normes minimales pour les travailleurs mobiles :</w:t>
      </w:r>
      <w:r>
        <w:t xml:space="preserve"> </w:t>
      </w:r>
      <w:r>
        <w:t>âge, irrévocabilité, remboursement, droit à</w:t>
      </w:r>
      <w:r>
        <w:t xml:space="preserve"> </w:t>
      </w:r>
      <w:r>
        <w:t>l’information.</w:t>
      </w:r>
    </w:p>
    <w:p w14:paraId="42CCE1AF" w14:textId="24E150EE" w:rsidR="00296544" w:rsidRPr="00296544" w:rsidRDefault="00296544" w:rsidP="00296544">
      <w:pPr>
        <w:rPr>
          <w:b/>
          <w:bCs/>
          <w:i/>
          <w:iCs/>
        </w:rPr>
      </w:pPr>
      <w:r w:rsidRPr="00296544">
        <w:rPr>
          <w:b/>
          <w:bCs/>
          <w:i/>
          <w:iCs/>
        </w:rPr>
        <w:t>Le principe de totalisation des périodes</w:t>
      </w:r>
      <w:r w:rsidRPr="00296544">
        <w:rPr>
          <w:b/>
          <w:bCs/>
          <w:i/>
          <w:iCs/>
        </w:rPr>
        <w:t xml:space="preserve"> </w:t>
      </w:r>
    </w:p>
    <w:p w14:paraId="1960573E" w14:textId="68D310DA" w:rsidR="00296544" w:rsidRDefault="00296544" w:rsidP="00296544">
      <w:r>
        <w:lastRenderedPageBreak/>
        <w:t>Pour chaque citoyen européen (AELE inclus), les</w:t>
      </w:r>
      <w:r>
        <w:t xml:space="preserve"> </w:t>
      </w:r>
      <w:r>
        <w:t>périodes effectuées dans deux ou plusieurs États de</w:t>
      </w:r>
      <w:r>
        <w:t xml:space="preserve"> </w:t>
      </w:r>
      <w:r>
        <w:t>l’UE peuvent être prises en compte par chacun des</w:t>
      </w:r>
      <w:r>
        <w:t xml:space="preserve"> </w:t>
      </w:r>
      <w:r>
        <w:t>pays dans lequel l’assuré a travaillé ou séjourné.</w:t>
      </w:r>
    </w:p>
    <w:p w14:paraId="3FAB9D07" w14:textId="49A3CFBA" w:rsidR="00296544" w:rsidRDefault="00296544" w:rsidP="00296544">
      <w:r>
        <w:t>A noter que les périodes de maladie ou encore de</w:t>
      </w:r>
      <w:r>
        <w:t xml:space="preserve"> </w:t>
      </w:r>
      <w:r>
        <w:t>chômage seront également comptabilisées dans</w:t>
      </w:r>
      <w:r>
        <w:t xml:space="preserve"> </w:t>
      </w:r>
      <w:r>
        <w:t>chaque pays dans lequel l’assuré a travaillé.</w:t>
      </w:r>
    </w:p>
    <w:p w14:paraId="58F82FD7" w14:textId="55899502" w:rsidR="00296544" w:rsidRDefault="00296544" w:rsidP="00296544">
      <w:r>
        <w:t>L’assuré, lorsqu’il atteindra l’âge de la retraire,</w:t>
      </w:r>
      <w:r>
        <w:t xml:space="preserve"> </w:t>
      </w:r>
      <w:r>
        <w:t>recevra une retraite des différents pays d’Europe</w:t>
      </w:r>
      <w:r>
        <w:t xml:space="preserve"> </w:t>
      </w:r>
      <w:r>
        <w:t>dans lequel il a travaillé ou résidé. Sera ainsi calculée</w:t>
      </w:r>
      <w:r>
        <w:t xml:space="preserve"> </w:t>
      </w:r>
      <w:r>
        <w:t>la retraite comme si toute la carrière avait été</w:t>
      </w:r>
      <w:r>
        <w:t xml:space="preserve"> </w:t>
      </w:r>
      <w:r>
        <w:t>effectuée dans un seul pays (totalisation).</w:t>
      </w:r>
    </w:p>
    <w:p w14:paraId="51896AE1" w14:textId="4ADEE87A" w:rsidR="00296544" w:rsidRDefault="00296544" w:rsidP="00296544">
      <w:r>
        <w:t>Une note récapitulative (document P1) présentera</w:t>
      </w:r>
      <w:r>
        <w:t xml:space="preserve"> </w:t>
      </w:r>
      <w:r>
        <w:t>une vue d’ensemble à l’assuré de sa situation.</w:t>
      </w:r>
    </w:p>
    <w:p w14:paraId="6A938BEA" w14:textId="7A3425CA" w:rsidR="00296544" w:rsidRDefault="00296544" w:rsidP="00296544">
      <w:r>
        <w:t>Chaque régime auprès duquel l’assuré a cotisé</w:t>
      </w:r>
      <w:r>
        <w:t xml:space="preserve"> </w:t>
      </w:r>
      <w:r>
        <w:t>versera une pension dont le montant est déterminé</w:t>
      </w:r>
      <w:r>
        <w:t xml:space="preserve"> </w:t>
      </w:r>
      <w:r>
        <w:t>après un double calcul (calcul de la pension</w:t>
      </w:r>
      <w:r>
        <w:t xml:space="preserve"> </w:t>
      </w:r>
      <w:r>
        <w:t>nationale et de la pension communautaire). Après</w:t>
      </w:r>
      <w:r>
        <w:t xml:space="preserve"> </w:t>
      </w:r>
      <w:r>
        <w:t>comparaison, c’est le montant le plus élevé des deux</w:t>
      </w:r>
      <w:r>
        <w:t xml:space="preserve"> </w:t>
      </w:r>
      <w:r>
        <w:t>qui sera versé.</w:t>
      </w:r>
    </w:p>
    <w:p w14:paraId="076C2A37" w14:textId="65D148EC" w:rsidR="00296544" w:rsidRDefault="00296544" w:rsidP="00296544">
      <w:r>
        <w:t>Il est donc possible d'avoir droit à une pension de</w:t>
      </w:r>
      <w:r>
        <w:t xml:space="preserve"> </w:t>
      </w:r>
      <w:r>
        <w:t>vieillesse dans un pays même si l'âge légal de la</w:t>
      </w:r>
      <w:r>
        <w:t xml:space="preserve"> </w:t>
      </w:r>
      <w:r>
        <w:t>retraite n'a pas encore été atteint dans un autre</w:t>
      </w:r>
      <w:r>
        <w:t xml:space="preserve"> </w:t>
      </w:r>
      <w:r>
        <w:t>pays. Pour cela, l’assuré doit faire la demande de</w:t>
      </w:r>
      <w:r>
        <w:t xml:space="preserve"> </w:t>
      </w:r>
      <w:r>
        <w:t>retraite environ 6 mois avant d’avoir atteint l’âge de</w:t>
      </w:r>
      <w:r>
        <w:t xml:space="preserve"> </w:t>
      </w:r>
      <w:r>
        <w:t>départ légal dans le pays dans lequel il réside (sauf</w:t>
      </w:r>
      <w:r>
        <w:t xml:space="preserve"> </w:t>
      </w:r>
      <w:r>
        <w:t>s’il n’y a jamais travaillé).</w:t>
      </w:r>
    </w:p>
    <w:p w14:paraId="19A23D38" w14:textId="5E24A09A" w:rsidR="00296544" w:rsidRDefault="00296544" w:rsidP="00296544">
      <w:r>
        <w:t>A noter que chaque pension est soumise aux critères</w:t>
      </w:r>
      <w:r>
        <w:t xml:space="preserve"> </w:t>
      </w:r>
      <w:r>
        <w:t>d'éligibilité (âge de la retraite, périodes d'assurance</w:t>
      </w:r>
      <w:r>
        <w:t xml:space="preserve"> </w:t>
      </w:r>
      <w:r>
        <w:t>minimales, etc.) du pays dont l'institution octroie la</w:t>
      </w:r>
      <w:r>
        <w:t xml:space="preserve"> </w:t>
      </w:r>
      <w:r>
        <w:t>pension.</w:t>
      </w:r>
    </w:p>
    <w:p w14:paraId="4C2A50E4" w14:textId="77777777" w:rsidR="00296544" w:rsidRDefault="00296544" w:rsidP="00296544">
      <w:r>
        <w:t>Voir aussi</w:t>
      </w:r>
    </w:p>
    <w:p w14:paraId="3923B670" w14:textId="77777777" w:rsidR="00296544" w:rsidRPr="00296544" w:rsidRDefault="00296544" w:rsidP="002965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2965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Je vais vivre ou j’ai vécu à l’étranger</w:t>
      </w:r>
    </w:p>
    <w:p w14:paraId="694237E5" w14:textId="46B12D05" w:rsidR="00296544" w:rsidRDefault="00296544" w:rsidP="00296544">
      <w:hyperlink r:id="rId4" w:history="1">
        <w:r w:rsidRPr="004C2F8F">
          <w:rPr>
            <w:rStyle w:val="Hyperlink"/>
          </w:rPr>
          <w:t>https://www.lassuranceretraite.fr/portail-info/portail-info/sites/pub/home/retraite/mes-demarches/retraite-etranger.html</w:t>
        </w:r>
      </w:hyperlink>
    </w:p>
    <w:p w14:paraId="35DCD4AE" w14:textId="726008E5" w:rsidR="00296544" w:rsidRDefault="00296544" w:rsidP="00296544">
      <w:r>
        <w:t xml:space="preserve"> </w:t>
      </w:r>
    </w:p>
    <w:sectPr w:rsidR="0029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44"/>
    <w:rsid w:val="002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4550"/>
  <w15:chartTrackingRefBased/>
  <w15:docId w15:val="{1DBEA536-9D48-4689-8EED-915BAE19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5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65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ssuranceretraite.fr/portail-info/portail-info/sites/pub/home/retraite/mes-demarches/retraite-etrang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Math</dc:creator>
  <cp:keywords/>
  <dc:description/>
  <cp:lastModifiedBy>Antoine Math</cp:lastModifiedBy>
  <cp:revision>1</cp:revision>
  <dcterms:created xsi:type="dcterms:W3CDTF">2024-04-15T12:51:00Z</dcterms:created>
  <dcterms:modified xsi:type="dcterms:W3CDTF">2024-04-15T12:57:00Z</dcterms:modified>
</cp:coreProperties>
</file>