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DE8" w:rsidRDefault="00F41F32">
      <w:r>
        <w:t xml:space="preserve">Extrait OIT - </w:t>
      </w:r>
      <w:r w:rsidRPr="00F41F32">
        <w:t>Etude d'ensemble concernant les instruments relatifs aux travailleurs migrants</w:t>
      </w:r>
    </w:p>
    <w:p w:rsidR="00F41F32" w:rsidRDefault="00F41F32" w:rsidP="00F41F32">
      <w:pPr>
        <w:pStyle w:val="NormalWeb"/>
      </w:pPr>
      <w:r>
        <w:t>Pas de principe de réciprocité</w:t>
      </w:r>
      <w:r>
        <w:br/>
        <w:t>98. La réciprocité n’est pas exigée pour l’application des protections définies dans les</w:t>
      </w:r>
      <w:r>
        <w:br/>
        <w:t>instruments. Autrement dit, un travailleur migrant n’a pas besoin d’être un ressortissant</w:t>
      </w:r>
      <w:r>
        <w:br/>
        <w:t>d’un Etat Membre qui a ratifié l’instrument, ou qui garantit l’égalité de traitement aux</w:t>
      </w:r>
      <w:r>
        <w:br/>
        <w:t>sujets de l’Etat ayant ratifié la convention, pour que les dispositions s’appliquent. Ces</w:t>
      </w:r>
      <w:r>
        <w:br/>
        <w:t>dernières années, la commission n’a cessé de rappeler aux gouvernements que ces</w:t>
      </w:r>
      <w:r>
        <w:br/>
        <w:t>instruments ne sont pas subordonnés à un régime de réciprocité 15. Parallèlement, elle a noté avec intérêt ou avec satisfaction les amendements législatifs qui suppriment toute</w:t>
      </w:r>
      <w:r>
        <w:br/>
        <w:t>exigence de réciprocité pour que les droits s’appliquent aux travailleurs migrants, leur</w:t>
      </w:r>
      <w:r>
        <w:br/>
        <w:t>permettant notamment de devenir responsable syndical 16 ou d’obtenir réparation en cas</w:t>
      </w:r>
      <w:r>
        <w:br/>
        <w:t>d’accidents du travail et de maladies professionnelles 17.</w:t>
      </w:r>
    </w:p>
    <w:p w:rsidR="00F41F32" w:rsidRDefault="00F41F32" w:rsidP="00F41F32">
      <w:pPr>
        <w:pStyle w:val="NormalWeb"/>
      </w:pPr>
      <w:r>
        <w:t>103. Comme l’indiquent clairement les définitions figurant dans les instruments, la</w:t>
      </w:r>
      <w:r>
        <w:br/>
        <w:t xml:space="preserve">convention no 97 et la Partie II de la convention no 143 s’appliquent à </w:t>
      </w:r>
      <w:r>
        <w:rPr>
          <w:u w:val="single"/>
        </w:rPr>
        <w:t>l’ensemble de la</w:t>
      </w:r>
      <w:r>
        <w:rPr>
          <w:u w:val="single"/>
        </w:rPr>
        <w:br/>
        <w:t>population active, à l’exception des travailleurs indépendants</w:t>
      </w:r>
      <w:r>
        <w:t xml:space="preserve"> </w:t>
      </w:r>
      <w:proofErr w:type="gramStart"/>
      <w:r>
        <w:t>27 .</w:t>
      </w:r>
      <w:proofErr w:type="gramEnd"/>
      <w:r>
        <w:t xml:space="preserve"> Aux termes des</w:t>
      </w:r>
      <w:r>
        <w:br/>
        <w:t>conventions nos 97 et 143 sont également exclus les travailleurs frontaliers, les gens de</w:t>
      </w:r>
      <w:r>
        <w:br/>
        <w:t>mer, les personnes exerçant une profession libérale qui sont entrées dans le pays pour y</w:t>
      </w:r>
      <w:r>
        <w:br/>
        <w:t>travailler pour une courte période et les artistes.</w:t>
      </w:r>
    </w:p>
    <w:p w:rsidR="00F41F32" w:rsidRDefault="00F41F32" w:rsidP="00F41F32">
      <w:pPr>
        <w:pStyle w:val="NormalWeb"/>
      </w:pPr>
      <w:r>
        <w:t>119. Les dispositions de la convention no 97, de la recommandation no 86 et de la</w:t>
      </w:r>
      <w:r>
        <w:br/>
        <w:t>Partie II de la convention no 143 portent uniquement sur la protection des travailleurs</w:t>
      </w:r>
      <w:r>
        <w:br/>
        <w:t>migrants qui ont été «admis régulièrement» aux fins d’emploi: autrement dit, les</w:t>
      </w:r>
      <w:r>
        <w:br/>
        <w:t>personnes qui sont entrées dans un pays de façon irrégulière ne sont pas couvertes par</w:t>
      </w:r>
      <w:r>
        <w:br/>
        <w:t>ces dispositions.</w:t>
      </w:r>
    </w:p>
    <w:p w:rsidR="00F41F32" w:rsidRPr="00F41F32" w:rsidRDefault="00F41F32" w:rsidP="00F41F32">
      <w:pPr>
        <w:pStyle w:val="NormalWeb"/>
        <w:rPr>
          <w:b/>
        </w:rPr>
      </w:pPr>
      <w:r w:rsidRPr="00F41F32">
        <w:rPr>
          <w:b/>
        </w:rPr>
        <w:t>Egalité et non-discrimination (page 107 et s.)</w:t>
      </w:r>
    </w:p>
    <w:p w:rsidR="00F41F32" w:rsidRDefault="00F41F32" w:rsidP="00F41F32">
      <w:pPr>
        <w:pStyle w:val="NormalWeb"/>
      </w:pPr>
    </w:p>
    <w:p w:rsidR="00F41F32" w:rsidRDefault="00F41F32" w:rsidP="00F41F32">
      <w:pPr>
        <w:pStyle w:val="NormalWeb"/>
      </w:pPr>
      <w:r w:rsidRPr="00F41F32">
        <w:rPr>
          <w:b/>
        </w:rPr>
        <w:t>Sécurité sociale</w:t>
      </w:r>
      <w:r w:rsidRPr="00F41F32">
        <w:rPr>
          <w:b/>
        </w:rPr>
        <w:br/>
      </w:r>
      <w:r>
        <w:t>389. Tant la convention no 97 que la convention no 143 stipulent que l’égalité de</w:t>
      </w:r>
      <w:r>
        <w:br/>
        <w:t>traitement s’applique également à la sécurité sociale. Selon le paragraphe 1 b) de</w:t>
      </w:r>
      <w:r>
        <w:br/>
        <w:t>l’article 6 de la convention no 97, le principe de l’égalité de traitement en matière de</w:t>
      </w:r>
      <w:r>
        <w:br/>
        <w:t>sécurité sociale s’applique à tous les immigrés qui se trouvent légalement dans le pays</w:t>
      </w:r>
      <w:proofErr w:type="gramStart"/>
      <w:r>
        <w:t>,</w:t>
      </w:r>
      <w:proofErr w:type="gramEnd"/>
      <w:r>
        <w:br/>
        <w:t>qu’ils soient résidents permanents ou temporaires. En vertu de cette disposition, la</w:t>
      </w:r>
      <w:r>
        <w:br/>
        <w:t>sécurité sociale comprend «les dispositions légales relatives aux accidents du travail, aux</w:t>
      </w:r>
      <w:r>
        <w:br/>
        <w:t>maladies professionnelles, à la maternité, à la maladie, à la vieillesse et au décès, au</w:t>
      </w:r>
      <w:r>
        <w:br/>
        <w:t>chômage et aux charges de famille, ainsi qu’à tout autre risque qui, conformément à la</w:t>
      </w:r>
      <w:r>
        <w:br/>
        <w:t>législation nationale, est couvert par un système de sécurité sociale» 95 , avec des</w:t>
      </w:r>
      <w:r>
        <w:br/>
        <w:t>dérogations.</w:t>
      </w:r>
      <w:r>
        <w:br/>
        <w:t>390. La convention no 97 stipule que des dispositions peuvent être prises en vue du</w:t>
      </w:r>
      <w:r>
        <w:br/>
        <w:t>maintien des droits acquis et des droits en cours d’acquisition (article 6</w:t>
      </w:r>
      <w:proofErr w:type="gramStart"/>
      <w:r>
        <w:t>,</w:t>
      </w:r>
      <w:proofErr w:type="gramEnd"/>
      <w:r>
        <w:br/>
        <w:t>paragraphe 1 b) i)) et pour les prestations payables exclusivement sur les fonds publics,</w:t>
      </w:r>
      <w:r>
        <w:br/>
        <w:t>ou celles qui sont versées aux personnes qui ne réunissent pas les conditions exigées</w:t>
      </w:r>
      <w:r>
        <w:br/>
        <w:t>pour l’attribution d’une pension normale dans un système non contributif (article 6,</w:t>
      </w:r>
      <w:r>
        <w:br/>
        <w:t>paragraphe 1 b) ii)). En conséquence, imposer une durée minimum de résidence ou</w:t>
      </w:r>
      <w:r>
        <w:br/>
        <w:t>d’emploi ne serait pas forcément contraire à la convention si cette condition est aussi</w:t>
      </w:r>
      <w:r>
        <w:br/>
        <w:t>imposée aux nationaux.</w:t>
      </w:r>
      <w:r>
        <w:br/>
      </w:r>
      <w:r>
        <w:lastRenderedPageBreak/>
        <w:t>391. La commission a rappelé aux Etats Membres que de telles dispositions ne sauraient</w:t>
      </w:r>
      <w:r>
        <w:br/>
        <w:t>être invoquées pour exclure automatiquement certaines catégories de travailleurs</w:t>
      </w:r>
      <w:r>
        <w:br/>
        <w:t>migrants du bénéfice des prestations de sécurité sociale 96. Les dérogations prévues dans</w:t>
      </w:r>
      <w:r>
        <w:br/>
        <w:t>la convention ont pour but principal de prévenir les abus et de préserver l’équilibre</w:t>
      </w:r>
      <w:r>
        <w:br/>
        <w:t>financier des régimes non contributifs 97.</w:t>
      </w:r>
      <w:r>
        <w:br/>
        <w:t>392. L’inclusion dans la convention no 143 de la sécurité sociale parmi les domaines qui</w:t>
      </w:r>
      <w:r>
        <w:br/>
        <w:t>doivent être couverts par la politique nationale d’égalité est inspirée de la convention</w:t>
      </w:r>
      <w:r>
        <w:br/>
        <w:t>no 97, la convention (no 102) concernant la sécurité sociale (norme minimum), 1952, et</w:t>
      </w:r>
      <w:r>
        <w:br/>
        <w:t>la convention (no 118) sur l’égalité de traitement (sécurité sociale), 1962 98 . La</w:t>
      </w:r>
      <w:r>
        <w:br/>
        <w:t>convention no 143 établit le principe général de l’égalité de traitement en matière de sécurité sociale, sans en exclure explicitement les prestations non contributives.</w:t>
      </w:r>
      <w:r>
        <w:br/>
        <w:t>Contrairement au paragraphe 1 b) ii) de l’article 6 de la convention no 97 et au</w:t>
      </w:r>
      <w:r>
        <w:br/>
        <w:t>paragraphe 2 de l’article 4 de la convention no 118, elle n’exclut pas l’application de</w:t>
      </w:r>
      <w:r>
        <w:br/>
        <w:t>dispositions particulières aux prestations non contributives 99.</w:t>
      </w:r>
    </w:p>
    <w:p w:rsidR="00F41F32" w:rsidRDefault="00F41F32" w:rsidP="00F41F32">
      <w:pPr>
        <w:pStyle w:val="NormalWeb"/>
      </w:pPr>
    </w:p>
    <w:p w:rsidR="00F41F32" w:rsidRDefault="00F41F32" w:rsidP="00F41F32">
      <w:pPr>
        <w:pStyle w:val="NormalWeb"/>
      </w:pPr>
      <w:r>
        <w:t>418. La commission s’est penchée sur les conditions de logement des travailleurs</w:t>
      </w:r>
      <w:r>
        <w:br/>
        <w:t>migrants et l’inégalité de traitement avec les nationaux à cet égard dans plusieurs</w:t>
      </w:r>
      <w:r>
        <w:br/>
        <w:t>pays 145. Elle s’est félicitée d’une décision du Conseil d’Etat de la France, annulant la</w:t>
      </w:r>
      <w:r>
        <w:br/>
        <w:t>disposition d’un décret qui imposait à certaines catégories d’étrangers la condition</w:t>
      </w:r>
      <w:r>
        <w:br/>
        <w:t>d’avoir séjourné deux ans sans interruption dans le pays pour pouvoir revendiquer le</w:t>
      </w:r>
      <w:r>
        <w:br/>
        <w:t>droit opposable à un logement décent. Le Conseil d’Etat a considéré que le décret n’était</w:t>
      </w:r>
      <w:r>
        <w:br/>
        <w:t>pas conforme à la convention puisqu’il ne tenait pas compte du principe d’égalité en ne</w:t>
      </w:r>
      <w:r>
        <w:br/>
        <w:t>reconnaissant pas le droit opposable au logement des titulaires d’un permis de séjour</w:t>
      </w:r>
      <w:r>
        <w:br/>
        <w:t>temporaire de courte durée 146.</w:t>
      </w:r>
    </w:p>
    <w:p w:rsidR="00F41F32" w:rsidRDefault="00F41F32"/>
    <w:sectPr w:rsidR="00F41F32" w:rsidSect="007F0D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F41F32"/>
    <w:rsid w:val="007F0DE8"/>
    <w:rsid w:val="00F41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DE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1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3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792</Words>
  <Characters>4359</Characters>
  <Application>Microsoft Office Word</Application>
  <DocSecurity>0</DocSecurity>
  <Lines>36</Lines>
  <Paragraphs>10</Paragraphs>
  <ScaleCrop>false</ScaleCrop>
  <Company/>
  <LinksUpToDate>false</LinksUpToDate>
  <CharactersWithSpaces>5141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2017-02-05T20:42:00Z</dcterms:created>
  <dcterms:modified xsi:type="dcterms:W3CDTF">2017-02-05T20:43:00Z</dcterms:modified>
</cp:coreProperties>
</file>