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2690" w14:textId="77777777" w:rsidR="00151988" w:rsidRPr="00151988" w:rsidRDefault="002D60AA" w:rsidP="00151988">
      <w:pPr>
        <w:jc w:val="center"/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A2DCD" wp14:editId="63DBD0B6">
                <wp:simplePos x="0" y="0"/>
                <wp:positionH relativeFrom="column">
                  <wp:posOffset>-690245</wp:posOffset>
                </wp:positionH>
                <wp:positionV relativeFrom="paragraph">
                  <wp:posOffset>-236220</wp:posOffset>
                </wp:positionV>
                <wp:extent cx="8763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F06D5" w14:textId="77777777" w:rsidR="002D60AA" w:rsidRPr="00A73316" w:rsidRDefault="00A73316" w:rsidP="002D60AA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A73316">
                              <w:rPr>
                                <w:b/>
                                <w:i/>
                                <w:color w:val="0070C0"/>
                              </w:rPr>
                              <w:t>Annexe 3</w:t>
                            </w:r>
                            <w:r w:rsidR="00A45C9C">
                              <w:rPr>
                                <w:b/>
                                <w:i/>
                                <w:color w:val="0070C0"/>
                              </w:rPr>
                              <w:t> </w:t>
                            </w:r>
                            <w:r w:rsidRPr="00A73316">
                              <w:rPr>
                                <w:b/>
                                <w:i/>
                                <w:color w:val="0070C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54.35pt;margin-top:-18.6pt;width:69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" fillcolor="white [3212]" strokecolor="white [3212]" strokeweight="1pt">
                <v:textbox>
                  <w:txbxContent>
                    <w:p w:rsidR="002D60AA" w:rsidRPr="00A73316" w:rsidRDefault="00A73316" w:rsidP="002D60AA">
                      <w:pPr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A73316">
                        <w:rPr>
                          <w:b/>
                          <w:i/>
                          <w:color w:val="0070C0"/>
                        </w:rPr>
                        <w:t>Annexe 3</w:t>
                      </w:r>
                      <w:r w:rsidR="00A45C9C">
                        <w:rPr>
                          <w:b/>
                          <w:i/>
                          <w:color w:val="0070C0"/>
                        </w:rPr>
                        <w:t> </w:t>
                      </w:r>
                      <w:r w:rsidRPr="00A73316">
                        <w:rPr>
                          <w:b/>
                          <w:i/>
                          <w:color w:val="0070C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A73316">
        <w:rPr>
          <w:b/>
          <w:color w:val="0070C0"/>
          <w:sz w:val="36"/>
          <w:szCs w:val="36"/>
        </w:rPr>
        <w:t>Comment puis-je présenter les enjeux du droit à l’erreur auprès de mes équipes</w:t>
      </w:r>
      <w:r w:rsidR="00A45C9C">
        <w:rPr>
          <w:b/>
          <w:color w:val="0070C0"/>
          <w:sz w:val="36"/>
          <w:szCs w:val="36"/>
        </w:rPr>
        <w:t> </w:t>
      </w:r>
      <w:r w:rsidR="00A73316">
        <w:rPr>
          <w:b/>
          <w:color w:val="0070C0"/>
          <w:sz w:val="36"/>
          <w:szCs w:val="36"/>
        </w:rPr>
        <w:t xml:space="preserve">? </w:t>
      </w:r>
      <w:r w:rsidR="00A73316">
        <w:rPr>
          <w:b/>
          <w:color w:val="0070C0"/>
          <w:sz w:val="36"/>
          <w:szCs w:val="36"/>
        </w:rPr>
        <w:br/>
      </w:r>
      <w:r w:rsidR="00A73316" w:rsidRPr="00A73316">
        <w:rPr>
          <w:b/>
          <w:color w:val="002060"/>
          <w:sz w:val="28"/>
          <w:szCs w:val="28"/>
        </w:rPr>
        <w:t>Fiche de sensibilisation à la détection des critères de suspicions de fraude</w:t>
      </w:r>
    </w:p>
    <w:p w14:paraId="0B68290C" w14:textId="77777777" w:rsidR="001D6CBA" w:rsidRPr="001D6CBA" w:rsidRDefault="001D6CBA" w:rsidP="001E6C3D">
      <w:pPr>
        <w:spacing w:after="0" w:line="240" w:lineRule="auto"/>
        <w:jc w:val="both"/>
        <w:rPr>
          <w:rFonts w:ascii="Arial" w:eastAsia="Times" w:hAnsi="Arial" w:cs="Arial"/>
          <w:lang w:eastAsia="fr-FR"/>
        </w:rPr>
      </w:pPr>
    </w:p>
    <w:p w14:paraId="35FB76D2" w14:textId="77777777" w:rsidR="00151988" w:rsidRDefault="000E5D03" w:rsidP="00151988">
      <w:pPr>
        <w:rPr>
          <w:b/>
          <w:color w:val="0070C0"/>
          <w:sz w:val="28"/>
          <w:szCs w:val="28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2BBA6" wp14:editId="4F458780">
                <wp:simplePos x="0" y="0"/>
                <wp:positionH relativeFrom="column">
                  <wp:posOffset>-328296</wp:posOffset>
                </wp:positionH>
                <wp:positionV relativeFrom="paragraph">
                  <wp:posOffset>379730</wp:posOffset>
                </wp:positionV>
                <wp:extent cx="6467475" cy="157162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716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FD988" w14:textId="77777777" w:rsidR="0083244F" w:rsidRPr="00A73316" w:rsidRDefault="0083244F" w:rsidP="00A733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>Cette fiche est destinée aux managers</w:t>
                            </w:r>
                            <w:r w:rsidRPr="000E5D03">
                              <w:rPr>
                                <w:color w:val="0070C0"/>
                              </w:rPr>
                              <w:t xml:space="preserve"> des services prestations et Direction</w:t>
                            </w:r>
                            <w:r w:rsidR="00352B67">
                              <w:rPr>
                                <w:color w:val="0070C0"/>
                              </w:rPr>
                              <w:t>s</w:t>
                            </w:r>
                            <w:r w:rsidRPr="000E5D03">
                              <w:rPr>
                                <w:color w:val="0070C0"/>
                              </w:rPr>
                              <w:t xml:space="preserve"> comptable</w:t>
                            </w:r>
                            <w:r w:rsidR="00352B67">
                              <w:rPr>
                                <w:color w:val="0070C0"/>
                              </w:rPr>
                              <w:t>s</w:t>
                            </w:r>
                            <w:r w:rsidRPr="000E5D03">
                              <w:rPr>
                                <w:color w:val="0070C0"/>
                              </w:rPr>
                              <w:t xml:space="preserve"> et financière</w:t>
                            </w:r>
                            <w:r w:rsidR="00352B67">
                              <w:rPr>
                                <w:color w:val="0070C0"/>
                              </w:rPr>
                              <w:t>s</w:t>
                            </w:r>
                            <w:r w:rsidRPr="000E5D03">
                              <w:rPr>
                                <w:color w:val="0070C0"/>
                              </w:rPr>
                              <w:t xml:space="preserve"> des Caf afin de</w:t>
                            </w:r>
                            <w:r w:rsidR="00E261A9" w:rsidRPr="000E5D03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0E5D03">
                              <w:rPr>
                                <w:color w:val="0070C0"/>
                              </w:rPr>
                              <w:t xml:space="preserve">sensibiliser leurs équipes à la détection des suspicions de fraude </w:t>
                            </w:r>
                            <w:r w:rsidR="00F1630A" w:rsidRPr="000E5D03">
                              <w:rPr>
                                <w:color w:val="0070C0"/>
                              </w:rPr>
                              <w:t xml:space="preserve">suite à la mise en œuvre de la Loi </w:t>
                            </w:r>
                            <w:proofErr w:type="spellStart"/>
                            <w:r w:rsidR="00F1630A" w:rsidRPr="000E5D03">
                              <w:rPr>
                                <w:color w:val="0070C0"/>
                              </w:rPr>
                              <w:t>Essoc</w:t>
                            </w:r>
                            <w:proofErr w:type="spellEnd"/>
                            <w:r w:rsidR="00F1630A" w:rsidRPr="000E5D03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5C3F8E" w:rsidRPr="000E5D03">
                              <w:rPr>
                                <w:color w:val="0070C0"/>
                              </w:rPr>
                              <w:t>qui porte l</w:t>
                            </w:r>
                            <w:r w:rsidR="00D67F36" w:rsidRPr="000E5D03">
                              <w:rPr>
                                <w:color w:val="0070C0"/>
                              </w:rPr>
                              <w:t xml:space="preserve">e </w:t>
                            </w:r>
                            <w:r w:rsidR="00F1630A" w:rsidRPr="000E5D03">
                              <w:rPr>
                                <w:color w:val="0070C0"/>
                              </w:rPr>
                              <w:t>droit à l’erreur</w:t>
                            </w:r>
                            <w:r w:rsidR="00D67F36" w:rsidRPr="000E5D03">
                              <w:rPr>
                                <w:color w:val="0070C0"/>
                              </w:rPr>
                              <w:t xml:space="preserve"> et le principe selon lequel le doute bénéficie toujours à l’allocataire</w:t>
                            </w:r>
                            <w:r w:rsidR="00A73316">
                              <w:rPr>
                                <w:color w:val="0070C0"/>
                              </w:rPr>
                              <w:t xml:space="preserve"> (</w:t>
                            </w:r>
                            <w:r w:rsidR="00EB1051">
                              <w:rPr>
                                <w:color w:val="0070C0"/>
                              </w:rPr>
                              <w:t>se référer à la fiche pratique «</w:t>
                            </w:r>
                            <w:r w:rsidR="00A45C9C">
                              <w:rPr>
                                <w:color w:val="0070C0"/>
                              </w:rPr>
                              <w:t> </w:t>
                            </w:r>
                            <w:r w:rsidR="00EB1051">
                              <w:rPr>
                                <w:color w:val="0070C0"/>
                              </w:rPr>
                              <w:t>Critères de suspicion de fraude</w:t>
                            </w:r>
                            <w:r w:rsidR="00A45C9C">
                              <w:rPr>
                                <w:color w:val="0070C0"/>
                              </w:rPr>
                              <w:t> </w:t>
                            </w:r>
                            <w:r w:rsidR="00EB1051">
                              <w:rPr>
                                <w:color w:val="0070C0"/>
                              </w:rPr>
                              <w:t>»).</w:t>
                            </w:r>
                          </w:p>
                          <w:p w14:paraId="2E38F067" w14:textId="77777777" w:rsidR="00562A6F" w:rsidRPr="000E5D03" w:rsidRDefault="00562A6F" w:rsidP="00C643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>Le</w:t>
                            </w:r>
                            <w:r w:rsidR="000E5D03" w:rsidRPr="00C6436F">
                              <w:rPr>
                                <w:b/>
                                <w:color w:val="0070C0"/>
                              </w:rPr>
                              <w:t xml:space="preserve"> droit à l’erreur ne vient pas modifier les critères de suspicion de fraude</w:t>
                            </w:r>
                            <w:r w:rsidR="000E5D03" w:rsidRPr="000E5D03">
                              <w:rPr>
                                <w:color w:val="0070C0"/>
                              </w:rPr>
                              <w:t xml:space="preserve"> qui ont été </w:t>
                            </w:r>
                            <w:r w:rsidR="00352B67">
                              <w:rPr>
                                <w:color w:val="0070C0"/>
                              </w:rPr>
                              <w:t>transmis</w:t>
                            </w:r>
                            <w:r w:rsidR="000E5D03" w:rsidRPr="000E5D03">
                              <w:rPr>
                                <w:color w:val="0070C0"/>
                              </w:rPr>
                              <w:t xml:space="preserve"> dans le processus fraude. L</w:t>
                            </w:r>
                            <w:r w:rsidR="00D67F36" w:rsidRPr="000E5D03">
                              <w:rPr>
                                <w:color w:val="0070C0"/>
                              </w:rPr>
                              <w:t xml:space="preserve">e droit à l’erreur appelle </w:t>
                            </w:r>
                            <w:r w:rsidR="002D60AA">
                              <w:rPr>
                                <w:color w:val="0070C0"/>
                              </w:rPr>
                              <w:t>pl</w:t>
                            </w:r>
                            <w:r w:rsidR="00A73316">
                              <w:rPr>
                                <w:color w:val="0070C0"/>
                              </w:rPr>
                              <w:t>u</w:t>
                            </w:r>
                            <w:r w:rsidR="002D60AA">
                              <w:rPr>
                                <w:color w:val="0070C0"/>
                              </w:rPr>
                              <w:t xml:space="preserve">s que jamais </w:t>
                            </w:r>
                            <w:r w:rsidR="00D67F36" w:rsidRPr="000E5D03">
                              <w:rPr>
                                <w:color w:val="0070C0"/>
                              </w:rPr>
                              <w:t>une certaine vigilance quant à l’appréciation de l’intentionnalité de l’erreur de déclaration.</w:t>
                            </w:r>
                          </w:p>
                          <w:p w14:paraId="596B6985" w14:textId="77777777" w:rsidR="00562A6F" w:rsidRPr="009A789C" w:rsidRDefault="00562A6F" w:rsidP="000E5D03">
                            <w:pPr>
                              <w:ind w:left="426"/>
                              <w:rPr>
                                <w:color w:val="0070C0"/>
                              </w:rPr>
                            </w:pPr>
                          </w:p>
                          <w:p w14:paraId="08BC05CF" w14:textId="77777777" w:rsidR="0083244F" w:rsidRDefault="0083244F" w:rsidP="000E5D03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27" style="position:absolute;margin-left:-25.85pt;margin-top:29.9pt;width:509.2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" fillcolor="white [3201]" strokecolor="#ffc000 [3207]" strokeweight="1.5pt">
                <v:stroke joinstyle="miter"/>
                <v:textbox>
                  <w:txbxContent>
                    <w:p w:rsidR="0083244F" w:rsidRPr="00A73316" w:rsidRDefault="0083244F" w:rsidP="00A7331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>Cette fiche est destinée aux managers</w:t>
                      </w:r>
                      <w:r w:rsidRPr="000E5D03">
                        <w:rPr>
                          <w:color w:val="0070C0"/>
                        </w:rPr>
                        <w:t xml:space="preserve"> des services prestations et Direction</w:t>
                      </w:r>
                      <w:r w:rsidR="00352B67">
                        <w:rPr>
                          <w:color w:val="0070C0"/>
                        </w:rPr>
                        <w:t>s</w:t>
                      </w:r>
                      <w:r w:rsidRPr="000E5D03">
                        <w:rPr>
                          <w:color w:val="0070C0"/>
                        </w:rPr>
                        <w:t xml:space="preserve"> comptable</w:t>
                      </w:r>
                      <w:r w:rsidR="00352B67">
                        <w:rPr>
                          <w:color w:val="0070C0"/>
                        </w:rPr>
                        <w:t>s</w:t>
                      </w:r>
                      <w:r w:rsidRPr="000E5D03">
                        <w:rPr>
                          <w:color w:val="0070C0"/>
                        </w:rPr>
                        <w:t xml:space="preserve"> et financière</w:t>
                      </w:r>
                      <w:r w:rsidR="00352B67">
                        <w:rPr>
                          <w:color w:val="0070C0"/>
                        </w:rPr>
                        <w:t>s</w:t>
                      </w:r>
                      <w:r w:rsidRPr="000E5D03">
                        <w:rPr>
                          <w:color w:val="0070C0"/>
                        </w:rPr>
                        <w:t xml:space="preserve"> des Caf afin de</w:t>
                      </w:r>
                      <w:r w:rsidR="00E261A9" w:rsidRPr="000E5D03">
                        <w:rPr>
                          <w:color w:val="0070C0"/>
                        </w:rPr>
                        <w:t xml:space="preserve"> </w:t>
                      </w:r>
                      <w:r w:rsidRPr="000E5D03">
                        <w:rPr>
                          <w:color w:val="0070C0"/>
                        </w:rPr>
                        <w:t xml:space="preserve">sensibiliser leurs équipes à la détection des suspicions de fraude </w:t>
                      </w:r>
                      <w:proofErr w:type="gramStart"/>
                      <w:r w:rsidR="00F1630A" w:rsidRPr="000E5D03">
                        <w:rPr>
                          <w:color w:val="0070C0"/>
                        </w:rPr>
                        <w:t>suite à</w:t>
                      </w:r>
                      <w:proofErr w:type="gramEnd"/>
                      <w:r w:rsidR="00F1630A" w:rsidRPr="000E5D03">
                        <w:rPr>
                          <w:color w:val="0070C0"/>
                        </w:rPr>
                        <w:t xml:space="preserve"> la mise en œuvre de la Loi </w:t>
                      </w:r>
                      <w:proofErr w:type="spellStart"/>
                      <w:r w:rsidR="00F1630A" w:rsidRPr="000E5D03">
                        <w:rPr>
                          <w:color w:val="0070C0"/>
                        </w:rPr>
                        <w:t>Essoc</w:t>
                      </w:r>
                      <w:proofErr w:type="spellEnd"/>
                      <w:r w:rsidR="00F1630A" w:rsidRPr="000E5D03">
                        <w:rPr>
                          <w:color w:val="0070C0"/>
                        </w:rPr>
                        <w:t xml:space="preserve"> </w:t>
                      </w:r>
                      <w:r w:rsidR="005C3F8E" w:rsidRPr="000E5D03">
                        <w:rPr>
                          <w:color w:val="0070C0"/>
                        </w:rPr>
                        <w:t>qui porte l</w:t>
                      </w:r>
                      <w:r w:rsidR="00D67F36" w:rsidRPr="000E5D03">
                        <w:rPr>
                          <w:color w:val="0070C0"/>
                        </w:rPr>
                        <w:t xml:space="preserve">e </w:t>
                      </w:r>
                      <w:r w:rsidR="00F1630A" w:rsidRPr="000E5D03">
                        <w:rPr>
                          <w:color w:val="0070C0"/>
                        </w:rPr>
                        <w:t>droit à l’erreur</w:t>
                      </w:r>
                      <w:r w:rsidR="00D67F36" w:rsidRPr="000E5D03">
                        <w:rPr>
                          <w:color w:val="0070C0"/>
                        </w:rPr>
                        <w:t xml:space="preserve"> et le principe selon lequel le doute bénéficie toujours à l’allocataire</w:t>
                      </w:r>
                      <w:r w:rsidR="00A73316">
                        <w:rPr>
                          <w:color w:val="0070C0"/>
                        </w:rPr>
                        <w:t xml:space="preserve"> (</w:t>
                      </w:r>
                      <w:r w:rsidR="00EB1051">
                        <w:rPr>
                          <w:color w:val="0070C0"/>
                        </w:rPr>
                        <w:t>se référer à la fiche pratique «</w:t>
                      </w:r>
                      <w:r w:rsidR="00A45C9C">
                        <w:rPr>
                          <w:color w:val="0070C0"/>
                        </w:rPr>
                        <w:t> </w:t>
                      </w:r>
                      <w:r w:rsidR="00EB1051">
                        <w:rPr>
                          <w:color w:val="0070C0"/>
                        </w:rPr>
                        <w:t>Critères de suspicion de fraude</w:t>
                      </w:r>
                      <w:r w:rsidR="00A45C9C">
                        <w:rPr>
                          <w:color w:val="0070C0"/>
                        </w:rPr>
                        <w:t> </w:t>
                      </w:r>
                      <w:r w:rsidR="00EB1051">
                        <w:rPr>
                          <w:color w:val="0070C0"/>
                        </w:rPr>
                        <w:t>»).</w:t>
                      </w:r>
                    </w:p>
                    <w:p w:rsidR="00562A6F" w:rsidRPr="000E5D03" w:rsidRDefault="00562A6F" w:rsidP="00C643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>Le</w:t>
                      </w:r>
                      <w:r w:rsidR="000E5D03" w:rsidRPr="00C6436F">
                        <w:rPr>
                          <w:b/>
                          <w:color w:val="0070C0"/>
                        </w:rPr>
                        <w:t xml:space="preserve"> droit à l’erreur ne vient pas modifier les critères de suspicion de fraude</w:t>
                      </w:r>
                      <w:r w:rsidR="000E5D03" w:rsidRPr="000E5D03">
                        <w:rPr>
                          <w:color w:val="0070C0"/>
                        </w:rPr>
                        <w:t xml:space="preserve"> qui ont été </w:t>
                      </w:r>
                      <w:r w:rsidR="00352B67">
                        <w:rPr>
                          <w:color w:val="0070C0"/>
                        </w:rPr>
                        <w:t>transmis</w:t>
                      </w:r>
                      <w:r w:rsidR="000E5D03" w:rsidRPr="000E5D03">
                        <w:rPr>
                          <w:color w:val="0070C0"/>
                        </w:rPr>
                        <w:t xml:space="preserve"> dans le processus fraude. L</w:t>
                      </w:r>
                      <w:r w:rsidR="00D67F36" w:rsidRPr="000E5D03">
                        <w:rPr>
                          <w:color w:val="0070C0"/>
                        </w:rPr>
                        <w:t xml:space="preserve">e droit à l’erreur appelle </w:t>
                      </w:r>
                      <w:r w:rsidR="002D60AA">
                        <w:rPr>
                          <w:color w:val="0070C0"/>
                        </w:rPr>
                        <w:t>pl</w:t>
                      </w:r>
                      <w:r w:rsidR="00A73316">
                        <w:rPr>
                          <w:color w:val="0070C0"/>
                        </w:rPr>
                        <w:t>u</w:t>
                      </w:r>
                      <w:r w:rsidR="002D60AA">
                        <w:rPr>
                          <w:color w:val="0070C0"/>
                        </w:rPr>
                        <w:t xml:space="preserve">s que jamais </w:t>
                      </w:r>
                      <w:r w:rsidR="00D67F36" w:rsidRPr="000E5D03">
                        <w:rPr>
                          <w:color w:val="0070C0"/>
                        </w:rPr>
                        <w:t>une certaine vigilance quant à l’appréciation de l’intentionnalité de l’erreur de déclaration.</w:t>
                      </w:r>
                    </w:p>
                    <w:p w:rsidR="00562A6F" w:rsidRPr="009A789C" w:rsidRDefault="00562A6F" w:rsidP="000E5D03">
                      <w:pPr>
                        <w:ind w:left="426"/>
                        <w:rPr>
                          <w:color w:val="0070C0"/>
                        </w:rPr>
                      </w:pPr>
                    </w:p>
                    <w:p w:rsidR="0083244F" w:rsidRDefault="0083244F" w:rsidP="000E5D03">
                      <w:pPr>
                        <w:ind w:left="4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24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C1C2F" wp14:editId="03820A06">
                <wp:simplePos x="0" y="0"/>
                <wp:positionH relativeFrom="column">
                  <wp:posOffset>2443480</wp:posOffset>
                </wp:positionH>
                <wp:positionV relativeFrom="paragraph">
                  <wp:posOffset>12700</wp:posOffset>
                </wp:positionV>
                <wp:extent cx="1228725" cy="3238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E5F4E" w14:textId="77777777" w:rsidR="00151988" w:rsidRPr="00151988" w:rsidRDefault="009A789C" w:rsidP="00151988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="00151988" w:rsidRPr="0015198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Objectif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8" style="position:absolute;margin-left:192.4pt;margin-top:1pt;width:9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51988" w:rsidRPr="00151988" w:rsidRDefault="009A789C" w:rsidP="00151988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Les </w:t>
                      </w:r>
                      <w:r w:rsidR="00151988" w:rsidRPr="00151988">
                        <w:rPr>
                          <w:b/>
                          <w:color w:val="0070C0"/>
                          <w:sz w:val="28"/>
                          <w:szCs w:val="28"/>
                        </w:rPr>
                        <w:t>Objectif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0A1861" w14:textId="77777777" w:rsidR="0083244F" w:rsidRDefault="0083244F" w:rsidP="00151988">
      <w:pPr>
        <w:rPr>
          <w:color w:val="0070C0"/>
        </w:rPr>
      </w:pPr>
    </w:p>
    <w:p w14:paraId="1D55FCA9" w14:textId="77777777" w:rsidR="0083244F" w:rsidRDefault="0083244F" w:rsidP="00151988">
      <w:pPr>
        <w:rPr>
          <w:color w:val="0070C0"/>
        </w:rPr>
      </w:pPr>
    </w:p>
    <w:p w14:paraId="06CA9473" w14:textId="77777777" w:rsidR="0083244F" w:rsidRDefault="0083244F" w:rsidP="00151988">
      <w:pPr>
        <w:rPr>
          <w:color w:val="0070C0"/>
        </w:rPr>
      </w:pPr>
    </w:p>
    <w:p w14:paraId="24ADA3F8" w14:textId="77777777" w:rsidR="00CC5FC5" w:rsidRDefault="00CC5FC5" w:rsidP="00151988">
      <w:pPr>
        <w:rPr>
          <w:color w:val="0070C0"/>
        </w:rPr>
      </w:pPr>
    </w:p>
    <w:p w14:paraId="347830AB" w14:textId="77777777" w:rsidR="00CC5FC5" w:rsidRDefault="00CC5FC5" w:rsidP="00151988">
      <w:pPr>
        <w:rPr>
          <w:color w:val="0070C0"/>
        </w:rPr>
      </w:pPr>
    </w:p>
    <w:p w14:paraId="01EFE638" w14:textId="77777777" w:rsidR="00CC5FC5" w:rsidRDefault="001F58FD" w:rsidP="00151988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73E94" wp14:editId="2CB888A9">
                <wp:simplePos x="0" y="0"/>
                <wp:positionH relativeFrom="margin">
                  <wp:posOffset>2351405</wp:posOffset>
                </wp:positionH>
                <wp:positionV relativeFrom="paragraph">
                  <wp:posOffset>272415</wp:posOffset>
                </wp:positionV>
                <wp:extent cx="1257300" cy="32385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0CCC1" w14:textId="77777777" w:rsidR="009A789C" w:rsidRPr="00151988" w:rsidRDefault="009A789C" w:rsidP="009A789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Les enjeux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C47A0" id="Rectangle : coins arrondis 2" o:spid="_x0000_s1029" style="position:absolute;margin-left:185.15pt;margin-top:21.45pt;width:9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A789C" w:rsidRPr="00151988" w:rsidRDefault="009A789C" w:rsidP="009A789C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Les enjeux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5F9A81" w14:textId="77777777" w:rsidR="003608FC" w:rsidRDefault="00352B67" w:rsidP="00151988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F8D84" wp14:editId="72C4DDC9">
                <wp:simplePos x="0" y="0"/>
                <wp:positionH relativeFrom="column">
                  <wp:posOffset>-419735</wp:posOffset>
                </wp:positionH>
                <wp:positionV relativeFrom="paragraph">
                  <wp:posOffset>362585</wp:posOffset>
                </wp:positionV>
                <wp:extent cx="6614160" cy="3817620"/>
                <wp:effectExtent l="0" t="0" r="15240" b="1143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381762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0A3F7" w14:textId="77777777" w:rsidR="000E5D03" w:rsidRPr="00EC17C9" w:rsidRDefault="000E5D03" w:rsidP="00C643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 xml:space="preserve">La Branche a qualifié </w:t>
                            </w:r>
                            <w:r w:rsidR="00EC17C9" w:rsidRPr="00C6436F">
                              <w:rPr>
                                <w:b/>
                                <w:color w:val="0070C0"/>
                              </w:rPr>
                              <w:t xml:space="preserve">304 millions </w:t>
                            </w:r>
                            <w:r w:rsidR="003608FC" w:rsidRPr="00C6436F">
                              <w:rPr>
                                <w:b/>
                                <w:color w:val="0070C0"/>
                              </w:rPr>
                              <w:t xml:space="preserve">d’euros </w:t>
                            </w:r>
                            <w:r w:rsidR="00EC17C9" w:rsidRPr="00C6436F">
                              <w:rPr>
                                <w:b/>
                                <w:color w:val="0070C0"/>
                              </w:rPr>
                              <w:t>de fraude en 2018</w:t>
                            </w:r>
                            <w:r w:rsidR="00EC17C9" w:rsidRPr="00EC17C9">
                              <w:rPr>
                                <w:color w:val="0070C0"/>
                              </w:rPr>
                              <w:t>. L’objectif fixé par la Cog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="00EC17C9" w:rsidRPr="00EC17C9">
                              <w:rPr>
                                <w:color w:val="0070C0"/>
                              </w:rPr>
                              <w:t xml:space="preserve">2018-2022 est de détecter en fin de période 380 millions </w:t>
                            </w:r>
                            <w:r w:rsidR="003608FC">
                              <w:rPr>
                                <w:color w:val="0070C0"/>
                              </w:rPr>
                              <w:t xml:space="preserve">d’euros </w:t>
                            </w:r>
                            <w:r w:rsidR="00EC17C9" w:rsidRPr="00EC17C9">
                              <w:rPr>
                                <w:color w:val="0070C0"/>
                              </w:rPr>
                              <w:t>de fraude.</w:t>
                            </w:r>
                          </w:p>
                          <w:p w14:paraId="02AF3564" w14:textId="77777777" w:rsidR="00EC17C9" w:rsidRDefault="00EC17C9" w:rsidP="00C643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jc w:val="both"/>
                              <w:rPr>
                                <w:color w:val="0070C0"/>
                              </w:rPr>
                            </w:pPr>
                            <w:r w:rsidRPr="00EC17C9">
                              <w:rPr>
                                <w:color w:val="0070C0"/>
                              </w:rPr>
                              <w:t xml:space="preserve">Par ailleurs, </w:t>
                            </w:r>
                            <w:r w:rsidRPr="00C6436F">
                              <w:rPr>
                                <w:b/>
                                <w:color w:val="0070C0"/>
                              </w:rPr>
                              <w:t>la fraude estimée reste à un niveau élevé</w:t>
                            </w:r>
                            <w:r w:rsidRPr="00EC17C9">
                              <w:rPr>
                                <w:color w:val="0070C0"/>
                              </w:rPr>
                              <w:t xml:space="preserve"> : 1,97 milliard </w:t>
                            </w:r>
                            <w:r w:rsidR="003608FC">
                              <w:rPr>
                                <w:color w:val="0070C0"/>
                              </w:rPr>
                              <w:t>d’</w:t>
                            </w:r>
                            <w:r w:rsidRPr="00EC17C9">
                              <w:rPr>
                                <w:color w:val="0070C0"/>
                              </w:rPr>
                              <w:t>euros. L’objectif est donc de réduire l’écart entre la fraude estimée et la fraude détectée</w:t>
                            </w:r>
                            <w:r w:rsidR="00DB024E">
                              <w:rPr>
                                <w:color w:val="0070C0"/>
                              </w:rPr>
                              <w:t xml:space="preserve"> par un renforcement de la prévention des erreurs et des fraudes</w:t>
                            </w:r>
                            <w:r w:rsidR="00874AEB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169FFE25" w14:textId="77777777" w:rsidR="00EC17C9" w:rsidRDefault="00EC17C9" w:rsidP="00C643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 xml:space="preserve">L’instauration du droit à l’erreur </w:t>
                            </w:r>
                            <w:r w:rsidR="00C856AB" w:rsidRPr="00C6436F">
                              <w:rPr>
                                <w:b/>
                                <w:color w:val="0070C0"/>
                              </w:rPr>
                              <w:t>amène la Branche à s’interroger sur ses pratiques d’appréciation de l’intentionnalité des erreurs de déclarations</w:t>
                            </w:r>
                            <w:r w:rsidR="00C856AB">
                              <w:rPr>
                                <w:color w:val="0070C0"/>
                              </w:rPr>
                              <w:t xml:space="preserve">. En effet, </w:t>
                            </w:r>
                            <w:r w:rsidR="00A115F0">
                              <w:rPr>
                                <w:color w:val="0070C0"/>
                              </w:rPr>
                              <w:t>pour être qualifiée, une fraude doit comporter un élément matériel + un élément intentionnel (cf fiche «</w:t>
                            </w:r>
                            <w:r w:rsidR="00A45C9C">
                              <w:rPr>
                                <w:color w:val="0070C0"/>
                              </w:rPr>
                              <w:t> </w:t>
                            </w:r>
                            <w:r w:rsidR="00A115F0">
                              <w:rPr>
                                <w:color w:val="0070C0"/>
                              </w:rPr>
                              <w:t xml:space="preserve">critères de suspicion de fraude) </w:t>
                            </w:r>
                            <w:r w:rsidR="00874AEB">
                              <w:rPr>
                                <w:color w:val="0070C0"/>
                              </w:rPr>
                              <w:t>caractérisé par une volonté de l’allocataire de frauder</w:t>
                            </w:r>
                            <w:r w:rsidR="00ED7AB4">
                              <w:rPr>
                                <w:color w:val="0070C0"/>
                              </w:rPr>
                              <w:t xml:space="preserve"> et une connaissance de ses obligations déclaratives.</w:t>
                            </w:r>
                            <w:r w:rsidR="00B12D3A">
                              <w:rPr>
                                <w:color w:val="0070C0"/>
                              </w:rPr>
                              <w:t xml:space="preserve"> La charge de la preuve de l’intention de frauder ne revient pas à l’allocataire</w:t>
                            </w:r>
                            <w:r w:rsidR="00A45C9C">
                              <w:rPr>
                                <w:color w:val="0070C0"/>
                              </w:rPr>
                              <w:t>,</w:t>
                            </w:r>
                            <w:r w:rsidR="00B12D3A">
                              <w:rPr>
                                <w:color w:val="0070C0"/>
                              </w:rPr>
                              <w:t xml:space="preserve"> mais à la Caf.</w:t>
                            </w:r>
                          </w:p>
                          <w:p w14:paraId="12E5897E" w14:textId="77777777" w:rsidR="001F58FD" w:rsidRPr="00352B67" w:rsidRDefault="00ED7AB4" w:rsidP="00352B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>L’enjeu principal est</w:t>
                            </w:r>
                            <w:r w:rsidR="00EC17C9" w:rsidRPr="00C6436F">
                              <w:rPr>
                                <w:b/>
                                <w:color w:val="0070C0"/>
                              </w:rPr>
                              <w:t xml:space="preserve"> donc de concilier</w:t>
                            </w:r>
                            <w:r w:rsidR="00EC17C9">
                              <w:rPr>
                                <w:color w:val="0070C0"/>
                              </w:rPr>
                              <w:t xml:space="preserve"> l’atteinte des objectifs et le respect du dispositif portant le droit à l’erreur. Il n’est pas question de ne plus qualifier de fraude avec le droit à l’erreur.</w:t>
                            </w:r>
                            <w:r>
                              <w:rPr>
                                <w:color w:val="0070C0"/>
                              </w:rPr>
                              <w:t xml:space="preserve"> Le droit à l’erreur n’autorise pas l’allocataire à frauder</w:t>
                            </w:r>
                            <w:r w:rsidR="00D445CF">
                              <w:rPr>
                                <w:color w:val="0070C0"/>
                              </w:rPr>
                              <w:t xml:space="preserve">. </w:t>
                            </w:r>
                            <w:r w:rsidR="00352B67">
                              <w:rPr>
                                <w:color w:val="0070C0"/>
                              </w:rPr>
                              <w:t>Le droit à l’erreur</w:t>
                            </w:r>
                            <w:r w:rsidR="00D445CF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52B67">
                              <w:rPr>
                                <w:color w:val="0070C0"/>
                              </w:rPr>
                              <w:t>est l’occasion pour la Branche d’encore</w:t>
                            </w:r>
                            <w:r w:rsidR="00D445CF">
                              <w:rPr>
                                <w:color w:val="0070C0"/>
                              </w:rPr>
                              <w:t xml:space="preserve"> mieux inform</w:t>
                            </w:r>
                            <w:r w:rsidR="00352B67">
                              <w:rPr>
                                <w:color w:val="0070C0"/>
                              </w:rPr>
                              <w:t>er les allocataires quant à</w:t>
                            </w:r>
                            <w:r w:rsidR="00D445CF">
                              <w:rPr>
                                <w:color w:val="0070C0"/>
                              </w:rPr>
                              <w:t xml:space="preserve"> leurs obligations déclaratives</w:t>
                            </w:r>
                            <w:r w:rsidR="00352B67">
                              <w:rPr>
                                <w:color w:val="0070C0"/>
                              </w:rPr>
                              <w:t>. Seule l’erreur intentionnelle (c’est-à-dire que les obligations déclaratives ne sont pas respectées de manière volontaires)</w:t>
                            </w:r>
                            <w:r w:rsidR="00B12D3A">
                              <w:rPr>
                                <w:color w:val="0070C0"/>
                              </w:rPr>
                              <w:t xml:space="preserve"> e</w:t>
                            </w:r>
                            <w:r w:rsidR="00352B67">
                              <w:rPr>
                                <w:color w:val="0070C0"/>
                              </w:rPr>
                              <w:t>s</w:t>
                            </w:r>
                            <w:r w:rsidR="00B12D3A">
                              <w:rPr>
                                <w:color w:val="0070C0"/>
                              </w:rPr>
                              <w:t>t</w:t>
                            </w:r>
                            <w:r w:rsidR="00352B67">
                              <w:rPr>
                                <w:color w:val="0070C0"/>
                              </w:rPr>
                              <w:t xml:space="preserve"> sanctionnée. </w:t>
                            </w:r>
                            <w:r w:rsidR="00B12D3A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A45C9C" w:rsidRPr="00352B67">
                              <w:rPr>
                                <w:color w:val="0070C0"/>
                              </w:rPr>
                              <w:t>P</w:t>
                            </w:r>
                            <w:r w:rsidR="001F58FD" w:rsidRPr="00352B67">
                              <w:rPr>
                                <w:color w:val="0070C0"/>
                              </w:rPr>
                              <w:t xml:space="preserve">our rappel, les contrôleurs-allocataire et les GCA se positionnent sur une éventuelle suspicion de fraude </w:t>
                            </w:r>
                            <w:r w:rsidR="00352B67">
                              <w:rPr>
                                <w:color w:val="0070C0"/>
                              </w:rPr>
                              <w:t xml:space="preserve">mais la responsabilité de la qualification de la fraude revient à la </w:t>
                            </w:r>
                            <w:r w:rsidR="001F58FD" w:rsidRPr="00352B67">
                              <w:rPr>
                                <w:color w:val="0070C0"/>
                              </w:rPr>
                              <w:t xml:space="preserve">seule la commission administrative </w:t>
                            </w:r>
                            <w:r w:rsidR="00352B67">
                              <w:rPr>
                                <w:color w:val="0070C0"/>
                              </w:rPr>
                              <w:t xml:space="preserve">qui </w:t>
                            </w:r>
                            <w:r w:rsidR="001F58FD" w:rsidRPr="00352B67">
                              <w:rPr>
                                <w:color w:val="0070C0"/>
                              </w:rPr>
                              <w:t>se prononce collégialement.</w:t>
                            </w:r>
                          </w:p>
                          <w:p w14:paraId="0AD86C29" w14:textId="77777777" w:rsidR="00EC17C9" w:rsidRPr="00352B67" w:rsidRDefault="00EC17C9" w:rsidP="000E5D03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2BBA1C04" w14:textId="77777777" w:rsidR="000E5D03" w:rsidRDefault="000E5D03" w:rsidP="000E5D03"/>
                          <w:p w14:paraId="1DD184FF" w14:textId="77777777" w:rsidR="000E5D03" w:rsidRDefault="000E5D03" w:rsidP="000E5D03"/>
                          <w:p w14:paraId="09E7DF51" w14:textId="77777777" w:rsidR="001D6CBA" w:rsidRDefault="001D6CBA" w:rsidP="0083244F">
                            <w:pPr>
                              <w:jc w:val="center"/>
                            </w:pPr>
                          </w:p>
                          <w:p w14:paraId="1F6ECE24" w14:textId="77777777" w:rsidR="008C24CE" w:rsidRDefault="001D6CBA" w:rsidP="00B4041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1418" w:hanging="142"/>
                              <w:jc w:val="both"/>
                            </w:pPr>
                            <w:r w:rsidRPr="001D6CBA">
                              <w:rPr>
                                <w:rFonts w:ascii="Arial" w:eastAsia="Times" w:hAnsi="Arial" w:cs="Arial"/>
                                <w:lang w:eastAsia="fr-FR"/>
                              </w:rPr>
                              <w:t xml:space="preserve">La loi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FA43B" id="Rectangle : coins arrondis 5" o:spid="_x0000_s1030" style="position:absolute;margin-left:-33.05pt;margin-top:28.55pt;width:520.8pt;height:30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" fillcolor="white [3201]" strokecolor="#70ad47 [3209]" strokeweight="1.5pt">
                <v:stroke joinstyle="miter"/>
                <v:textbox>
                  <w:txbxContent>
                    <w:p w:rsidR="000E5D03" w:rsidRPr="00EC17C9" w:rsidRDefault="000E5D03" w:rsidP="00C6436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4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 xml:space="preserve">La Branche a qualifié </w:t>
                      </w:r>
                      <w:r w:rsidR="00EC17C9" w:rsidRPr="00C6436F">
                        <w:rPr>
                          <w:b/>
                          <w:color w:val="0070C0"/>
                        </w:rPr>
                        <w:t xml:space="preserve">304 millions </w:t>
                      </w:r>
                      <w:r w:rsidR="003608FC" w:rsidRPr="00C6436F">
                        <w:rPr>
                          <w:b/>
                          <w:color w:val="0070C0"/>
                        </w:rPr>
                        <w:t xml:space="preserve">d’euros </w:t>
                      </w:r>
                      <w:r w:rsidR="00EC17C9" w:rsidRPr="00C6436F">
                        <w:rPr>
                          <w:b/>
                          <w:color w:val="0070C0"/>
                        </w:rPr>
                        <w:t>de fraude en 2018</w:t>
                      </w:r>
                      <w:r w:rsidR="00EC17C9" w:rsidRPr="00EC17C9">
                        <w:rPr>
                          <w:color w:val="0070C0"/>
                        </w:rPr>
                        <w:t xml:space="preserve">. L’objectif fixé par la </w:t>
                      </w:r>
                      <w:proofErr w:type="spellStart"/>
                      <w:r w:rsidR="00EC17C9" w:rsidRPr="00EC17C9">
                        <w:rPr>
                          <w:color w:val="0070C0"/>
                        </w:rPr>
                        <w:t>Cog</w:t>
                      </w:r>
                      <w:proofErr w:type="spellEnd"/>
                      <w:r w:rsidR="00A45C9C">
                        <w:rPr>
                          <w:color w:val="0070C0"/>
                        </w:rPr>
                        <w:t> </w:t>
                      </w:r>
                      <w:r w:rsidR="00EC17C9" w:rsidRPr="00EC17C9">
                        <w:rPr>
                          <w:color w:val="0070C0"/>
                        </w:rPr>
                        <w:t xml:space="preserve">2018-2022 est de détecter en fin de période 380 millions </w:t>
                      </w:r>
                      <w:r w:rsidR="003608FC">
                        <w:rPr>
                          <w:color w:val="0070C0"/>
                        </w:rPr>
                        <w:t xml:space="preserve">d’euros </w:t>
                      </w:r>
                      <w:r w:rsidR="00EC17C9" w:rsidRPr="00EC17C9">
                        <w:rPr>
                          <w:color w:val="0070C0"/>
                        </w:rPr>
                        <w:t>de fraude.</w:t>
                      </w:r>
                    </w:p>
                    <w:p w:rsidR="00EC17C9" w:rsidRDefault="00EC17C9" w:rsidP="00C6436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4"/>
                        <w:jc w:val="both"/>
                        <w:rPr>
                          <w:color w:val="0070C0"/>
                        </w:rPr>
                      </w:pPr>
                      <w:r w:rsidRPr="00EC17C9">
                        <w:rPr>
                          <w:color w:val="0070C0"/>
                        </w:rPr>
                        <w:t xml:space="preserve">Par ailleurs, </w:t>
                      </w:r>
                      <w:r w:rsidRPr="00C6436F">
                        <w:rPr>
                          <w:b/>
                          <w:color w:val="0070C0"/>
                        </w:rPr>
                        <w:t>la fraude estimée reste à un niveau élevé</w:t>
                      </w:r>
                      <w:r w:rsidRPr="00EC17C9">
                        <w:rPr>
                          <w:color w:val="0070C0"/>
                        </w:rPr>
                        <w:t xml:space="preserve"> : 1,97 milliard </w:t>
                      </w:r>
                      <w:r w:rsidR="003608FC">
                        <w:rPr>
                          <w:color w:val="0070C0"/>
                        </w:rPr>
                        <w:t>d’</w:t>
                      </w:r>
                      <w:r w:rsidRPr="00EC17C9">
                        <w:rPr>
                          <w:color w:val="0070C0"/>
                        </w:rPr>
                        <w:t>euros. L’objectif est donc de réduire l’écart entre la fraude estimée et la fraude détectée</w:t>
                      </w:r>
                      <w:r w:rsidR="00DB024E">
                        <w:rPr>
                          <w:color w:val="0070C0"/>
                        </w:rPr>
                        <w:t xml:space="preserve"> par un renforcement de la prévention des erreurs et des fraudes</w:t>
                      </w:r>
                      <w:r w:rsidR="00874AEB">
                        <w:rPr>
                          <w:color w:val="0070C0"/>
                        </w:rPr>
                        <w:t>.</w:t>
                      </w:r>
                    </w:p>
                    <w:p w:rsidR="00EC17C9" w:rsidRDefault="00EC17C9" w:rsidP="00C6436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4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 xml:space="preserve">L’instauration du droit à l’erreur </w:t>
                      </w:r>
                      <w:r w:rsidR="00C856AB" w:rsidRPr="00C6436F">
                        <w:rPr>
                          <w:b/>
                          <w:color w:val="0070C0"/>
                        </w:rPr>
                        <w:t>amène la Branche à s’interroger sur ses pratiques d’appréciation de l’intentionnalité des erreurs de déclarations</w:t>
                      </w:r>
                      <w:r w:rsidR="00C856AB">
                        <w:rPr>
                          <w:color w:val="0070C0"/>
                        </w:rPr>
                        <w:t xml:space="preserve">. En effet, </w:t>
                      </w:r>
                      <w:r w:rsidR="00A115F0">
                        <w:rPr>
                          <w:color w:val="0070C0"/>
                        </w:rPr>
                        <w:t>pour être qualifiée, une fraude doit comporter un élément matériel + un élément intentionnel (</w:t>
                      </w:r>
                      <w:proofErr w:type="spellStart"/>
                      <w:r w:rsidR="00A115F0">
                        <w:rPr>
                          <w:color w:val="0070C0"/>
                        </w:rPr>
                        <w:t>cf</w:t>
                      </w:r>
                      <w:proofErr w:type="spellEnd"/>
                      <w:r w:rsidR="00A115F0">
                        <w:rPr>
                          <w:color w:val="0070C0"/>
                        </w:rPr>
                        <w:t xml:space="preserve"> fiche «</w:t>
                      </w:r>
                      <w:r w:rsidR="00A45C9C">
                        <w:rPr>
                          <w:color w:val="0070C0"/>
                        </w:rPr>
                        <w:t> </w:t>
                      </w:r>
                      <w:r w:rsidR="00A115F0">
                        <w:rPr>
                          <w:color w:val="0070C0"/>
                        </w:rPr>
                        <w:t xml:space="preserve">critères de suspicion de fraude) </w:t>
                      </w:r>
                      <w:r w:rsidR="00874AEB">
                        <w:rPr>
                          <w:color w:val="0070C0"/>
                        </w:rPr>
                        <w:t>caractérisé par une volonté de l’allocataire de frauder</w:t>
                      </w:r>
                      <w:r w:rsidR="00ED7AB4">
                        <w:rPr>
                          <w:color w:val="0070C0"/>
                        </w:rPr>
                        <w:t xml:space="preserve"> et une connaissance de ses obligations déclaratives.</w:t>
                      </w:r>
                      <w:r w:rsidR="00B12D3A">
                        <w:rPr>
                          <w:color w:val="0070C0"/>
                        </w:rPr>
                        <w:t xml:space="preserve"> La charge de la preuve de l’intention de frauder ne revient pas à l’allocataire</w:t>
                      </w:r>
                      <w:r w:rsidR="00A45C9C">
                        <w:rPr>
                          <w:color w:val="0070C0"/>
                        </w:rPr>
                        <w:t>,</w:t>
                      </w:r>
                      <w:r w:rsidR="00B12D3A">
                        <w:rPr>
                          <w:color w:val="0070C0"/>
                        </w:rPr>
                        <w:t xml:space="preserve"> mais à la Caf.</w:t>
                      </w:r>
                    </w:p>
                    <w:p w:rsidR="001F58FD" w:rsidRPr="00352B67" w:rsidRDefault="00ED7AB4" w:rsidP="00352B6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4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>L’enjeu principal est</w:t>
                      </w:r>
                      <w:r w:rsidR="00EC17C9" w:rsidRPr="00C6436F">
                        <w:rPr>
                          <w:b/>
                          <w:color w:val="0070C0"/>
                        </w:rPr>
                        <w:t xml:space="preserve"> donc de concilier</w:t>
                      </w:r>
                      <w:r w:rsidR="00EC17C9">
                        <w:rPr>
                          <w:color w:val="0070C0"/>
                        </w:rPr>
                        <w:t xml:space="preserve"> l’atteinte des objectifs et le respect du dispositif portant le droit à l’erreur. Il n’est pas question de ne plus qualifier de fraude avec le droit à l’erreur.</w:t>
                      </w:r>
                      <w:r>
                        <w:rPr>
                          <w:color w:val="0070C0"/>
                        </w:rPr>
                        <w:t xml:space="preserve"> Le droit à l’erreur n’autorise pas l’allocataire à frauder</w:t>
                      </w:r>
                      <w:r w:rsidR="00D445CF">
                        <w:rPr>
                          <w:color w:val="0070C0"/>
                        </w:rPr>
                        <w:t xml:space="preserve">. </w:t>
                      </w:r>
                      <w:r w:rsidR="00352B67">
                        <w:rPr>
                          <w:color w:val="0070C0"/>
                        </w:rPr>
                        <w:t>Le droit à l’erreur</w:t>
                      </w:r>
                      <w:r w:rsidR="00D445CF">
                        <w:rPr>
                          <w:color w:val="0070C0"/>
                        </w:rPr>
                        <w:t xml:space="preserve"> </w:t>
                      </w:r>
                      <w:r w:rsidR="00352B67">
                        <w:rPr>
                          <w:color w:val="0070C0"/>
                        </w:rPr>
                        <w:t>est l’occasion pour la Branche d’encore</w:t>
                      </w:r>
                      <w:r w:rsidR="00D445CF">
                        <w:rPr>
                          <w:color w:val="0070C0"/>
                        </w:rPr>
                        <w:t xml:space="preserve"> mieux inform</w:t>
                      </w:r>
                      <w:r w:rsidR="00352B67">
                        <w:rPr>
                          <w:color w:val="0070C0"/>
                        </w:rPr>
                        <w:t>er les allocataires quant à</w:t>
                      </w:r>
                      <w:r w:rsidR="00D445CF">
                        <w:rPr>
                          <w:color w:val="0070C0"/>
                        </w:rPr>
                        <w:t xml:space="preserve"> leurs obligations déclaratives</w:t>
                      </w:r>
                      <w:r w:rsidR="00352B67">
                        <w:rPr>
                          <w:color w:val="0070C0"/>
                        </w:rPr>
                        <w:t>. Seule l’erreur intentionnelle (c’est-à-dire que les obligations déclaratives ne sont pas respectées de manière volontaires)</w:t>
                      </w:r>
                      <w:r w:rsidR="00B12D3A">
                        <w:rPr>
                          <w:color w:val="0070C0"/>
                        </w:rPr>
                        <w:t xml:space="preserve"> e</w:t>
                      </w:r>
                      <w:r w:rsidR="00352B67">
                        <w:rPr>
                          <w:color w:val="0070C0"/>
                        </w:rPr>
                        <w:t>s</w:t>
                      </w:r>
                      <w:r w:rsidR="00B12D3A">
                        <w:rPr>
                          <w:color w:val="0070C0"/>
                        </w:rPr>
                        <w:t>t</w:t>
                      </w:r>
                      <w:r w:rsidR="00352B67">
                        <w:rPr>
                          <w:color w:val="0070C0"/>
                        </w:rPr>
                        <w:t xml:space="preserve"> sanctionnée. </w:t>
                      </w:r>
                      <w:r w:rsidR="00B12D3A">
                        <w:rPr>
                          <w:color w:val="0070C0"/>
                        </w:rPr>
                        <w:t xml:space="preserve"> </w:t>
                      </w:r>
                      <w:r w:rsidR="00A45C9C" w:rsidRPr="00352B67">
                        <w:rPr>
                          <w:color w:val="0070C0"/>
                        </w:rPr>
                        <w:t>P</w:t>
                      </w:r>
                      <w:r w:rsidR="001F58FD" w:rsidRPr="00352B67">
                        <w:rPr>
                          <w:color w:val="0070C0"/>
                        </w:rPr>
                        <w:t xml:space="preserve">our rappel, les contrôleurs-allocataire et les GCA se positionnent sur une éventuelle suspicion de fraude </w:t>
                      </w:r>
                      <w:r w:rsidR="00352B67">
                        <w:rPr>
                          <w:color w:val="0070C0"/>
                        </w:rPr>
                        <w:t xml:space="preserve">mais la responsabilité de la qualification de la fraude revient à la </w:t>
                      </w:r>
                      <w:r w:rsidR="001F58FD" w:rsidRPr="00352B67">
                        <w:rPr>
                          <w:color w:val="0070C0"/>
                        </w:rPr>
                        <w:t xml:space="preserve">seule la commission administrative </w:t>
                      </w:r>
                      <w:r w:rsidR="00352B67">
                        <w:rPr>
                          <w:color w:val="0070C0"/>
                        </w:rPr>
                        <w:t xml:space="preserve">qui </w:t>
                      </w:r>
                      <w:r w:rsidR="001F58FD" w:rsidRPr="00352B67">
                        <w:rPr>
                          <w:color w:val="0070C0"/>
                        </w:rPr>
                        <w:t>se prononce collégialement.</w:t>
                      </w:r>
                    </w:p>
                    <w:p w:rsidR="00EC17C9" w:rsidRPr="00352B67" w:rsidRDefault="00EC17C9" w:rsidP="000E5D03">
                      <w:pPr>
                        <w:rPr>
                          <w:color w:val="0070C0"/>
                        </w:rPr>
                      </w:pPr>
                    </w:p>
                    <w:p w:rsidR="000E5D03" w:rsidRDefault="000E5D03" w:rsidP="000E5D03"/>
                    <w:p w:rsidR="000E5D03" w:rsidRDefault="000E5D03" w:rsidP="000E5D03"/>
                    <w:p w:rsidR="001D6CBA" w:rsidRDefault="001D6CBA" w:rsidP="0083244F">
                      <w:pPr>
                        <w:jc w:val="center"/>
                      </w:pPr>
                    </w:p>
                    <w:p w:rsidR="008C24CE" w:rsidRDefault="001D6CBA" w:rsidP="00B4041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1418" w:hanging="142"/>
                        <w:jc w:val="both"/>
                      </w:pPr>
                      <w:r w:rsidRPr="001D6CBA">
                        <w:rPr>
                          <w:rFonts w:ascii="Arial" w:eastAsia="Times" w:hAnsi="Arial" w:cs="Arial"/>
                          <w:lang w:eastAsia="fr-FR"/>
                        </w:rPr>
                        <w:t xml:space="preserve">La loi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B72E7E" w14:textId="77777777" w:rsidR="002D60AA" w:rsidRDefault="002D60AA" w:rsidP="00151988">
      <w:pPr>
        <w:rPr>
          <w:color w:val="0070C0"/>
        </w:rPr>
      </w:pPr>
    </w:p>
    <w:p w14:paraId="077F6A46" w14:textId="77777777" w:rsidR="002D60AA" w:rsidRDefault="002D60AA" w:rsidP="00151988">
      <w:pPr>
        <w:rPr>
          <w:color w:val="0070C0"/>
        </w:rPr>
      </w:pPr>
    </w:p>
    <w:p w14:paraId="3E1CB262" w14:textId="77777777" w:rsidR="003608FC" w:rsidRDefault="003608FC" w:rsidP="00151988">
      <w:pPr>
        <w:rPr>
          <w:color w:val="0070C0"/>
        </w:rPr>
      </w:pPr>
    </w:p>
    <w:p w14:paraId="6DF420DB" w14:textId="77777777" w:rsidR="00CC5FC5" w:rsidRDefault="00CC5FC5" w:rsidP="00151988">
      <w:pPr>
        <w:rPr>
          <w:color w:val="0070C0"/>
        </w:rPr>
      </w:pPr>
    </w:p>
    <w:p w14:paraId="499D67CC" w14:textId="77777777" w:rsidR="00CC5FC5" w:rsidRDefault="00CC5FC5" w:rsidP="00151988">
      <w:pPr>
        <w:rPr>
          <w:color w:val="0070C0"/>
        </w:rPr>
      </w:pPr>
    </w:p>
    <w:p w14:paraId="36A3C8DD" w14:textId="77777777" w:rsidR="0083244F" w:rsidRDefault="0083244F" w:rsidP="00151988">
      <w:pPr>
        <w:rPr>
          <w:color w:val="0070C0"/>
        </w:rPr>
      </w:pPr>
    </w:p>
    <w:p w14:paraId="445D9243" w14:textId="77777777" w:rsidR="0083244F" w:rsidRDefault="0083244F" w:rsidP="00151988">
      <w:pPr>
        <w:rPr>
          <w:color w:val="0070C0"/>
        </w:rPr>
      </w:pPr>
    </w:p>
    <w:p w14:paraId="54C0F539" w14:textId="77777777" w:rsidR="0083244F" w:rsidRDefault="0083244F" w:rsidP="00151988">
      <w:pPr>
        <w:rPr>
          <w:color w:val="0070C0"/>
        </w:rPr>
      </w:pPr>
    </w:p>
    <w:p w14:paraId="098C603B" w14:textId="77777777" w:rsidR="0083244F" w:rsidRDefault="0083244F" w:rsidP="00151988">
      <w:pPr>
        <w:rPr>
          <w:color w:val="0070C0"/>
        </w:rPr>
      </w:pPr>
    </w:p>
    <w:p w14:paraId="695466B6" w14:textId="77777777" w:rsidR="00FB32D2" w:rsidRDefault="00FB32D2" w:rsidP="00151988">
      <w:pPr>
        <w:rPr>
          <w:color w:val="0070C0"/>
        </w:rPr>
      </w:pPr>
    </w:p>
    <w:p w14:paraId="65F5458E" w14:textId="77777777" w:rsidR="00FB32D2" w:rsidRDefault="00FB32D2" w:rsidP="00151988">
      <w:pPr>
        <w:rPr>
          <w:color w:val="0070C0"/>
        </w:rPr>
      </w:pPr>
    </w:p>
    <w:p w14:paraId="0D7A58F1" w14:textId="77777777" w:rsidR="00FB32D2" w:rsidRDefault="00FB32D2" w:rsidP="00151988">
      <w:pPr>
        <w:rPr>
          <w:color w:val="0070C0"/>
        </w:rPr>
      </w:pPr>
    </w:p>
    <w:p w14:paraId="29B2CECC" w14:textId="77777777" w:rsidR="00FB32D2" w:rsidRDefault="00FB32D2" w:rsidP="00151988">
      <w:pPr>
        <w:rPr>
          <w:color w:val="0070C0"/>
        </w:rPr>
      </w:pPr>
    </w:p>
    <w:p w14:paraId="4BB43942" w14:textId="77777777" w:rsidR="00FB32D2" w:rsidRDefault="00FB32D2" w:rsidP="00151988">
      <w:pPr>
        <w:rPr>
          <w:color w:val="0070C0"/>
        </w:rPr>
      </w:pPr>
    </w:p>
    <w:p w14:paraId="5C0567F3" w14:textId="77777777" w:rsidR="00FB32D2" w:rsidRDefault="00352B67" w:rsidP="00151988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D6A40" wp14:editId="3761C10A">
                <wp:simplePos x="0" y="0"/>
                <wp:positionH relativeFrom="margin">
                  <wp:posOffset>1649730</wp:posOffset>
                </wp:positionH>
                <wp:positionV relativeFrom="paragraph">
                  <wp:posOffset>13335</wp:posOffset>
                </wp:positionV>
                <wp:extent cx="2486025" cy="323850"/>
                <wp:effectExtent l="0" t="0" r="28575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E73D69" w14:textId="77777777" w:rsidR="003608FC" w:rsidRPr="00151988" w:rsidRDefault="003608FC" w:rsidP="003608F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La fraude en quelques chiffres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B7324" id="Rectangle : coins arrondis 11" o:spid="_x0000_s1031" style="position:absolute;margin-left:129.9pt;margin-top:1.05pt;width:195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608FC" w:rsidRPr="00151988" w:rsidRDefault="003608FC" w:rsidP="003608FC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La fraude en quelques chiffres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71C059" w14:textId="77777777" w:rsidR="00D67F36" w:rsidRDefault="00352B67" w:rsidP="00151988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37616B" wp14:editId="33A115F8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610350" cy="1885950"/>
                <wp:effectExtent l="0" t="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8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3C105B" w14:textId="77777777" w:rsidR="003608FC" w:rsidRPr="00C67A1C" w:rsidRDefault="003608FC" w:rsidP="00C643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>La politique de lutte contre la fraude</w:t>
                            </w:r>
                            <w:r w:rsidRPr="00C67A1C">
                              <w:rPr>
                                <w:color w:val="0070C0"/>
                              </w:rPr>
                              <w:t xml:space="preserve"> menée par la branche est efficace et crédible : 44 897 fraudes ont été qualifiées en 2018 pour un préjudice financier de 304,6 millions d’euros.</w:t>
                            </w:r>
                          </w:p>
                          <w:p w14:paraId="3A4C4BB3" w14:textId="77777777" w:rsidR="003608FC" w:rsidRPr="00C67A1C" w:rsidRDefault="003608FC" w:rsidP="00C643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>Les typologies de fraudes</w:t>
                            </w:r>
                            <w:r w:rsidRPr="00C67A1C">
                              <w:rPr>
                                <w:color w:val="0070C0"/>
                              </w:rPr>
                              <w:t xml:space="preserve"> détectées en 2018 : 73,1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de fraudes suite à des omissions et de fausses déclarations intentionnelles, 18,4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de fraude</w:t>
                            </w:r>
                            <w:r w:rsidR="00FE5A0E">
                              <w:rPr>
                                <w:color w:val="0070C0"/>
                              </w:rPr>
                              <w:t>s</w:t>
                            </w:r>
                            <w:r w:rsidRPr="00C67A1C">
                              <w:rPr>
                                <w:color w:val="0070C0"/>
                              </w:rPr>
                              <w:t xml:space="preserve"> à l’isolement et 8,5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de faux et usage de faux.</w:t>
                            </w:r>
                          </w:p>
                          <w:p w14:paraId="1C00E74C" w14:textId="77777777" w:rsidR="003608FC" w:rsidRPr="00C67A1C" w:rsidRDefault="003608FC" w:rsidP="00C643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>Les fraudes par prestation</w:t>
                            </w:r>
                            <w:r w:rsidRPr="00C67A1C">
                              <w:rPr>
                                <w:color w:val="0070C0"/>
                              </w:rPr>
                              <w:t> : 47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R</w:t>
                            </w:r>
                            <w:r w:rsidR="00A45C9C">
                              <w:rPr>
                                <w:color w:val="0070C0"/>
                              </w:rPr>
                              <w:t>SA</w:t>
                            </w:r>
                            <w:r w:rsidRPr="00C67A1C">
                              <w:rPr>
                                <w:color w:val="0070C0"/>
                              </w:rPr>
                              <w:t>, 17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Prime d’activité, 19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Aides au logement</w:t>
                            </w:r>
                          </w:p>
                          <w:p w14:paraId="69B61D35" w14:textId="77777777" w:rsidR="003608FC" w:rsidRPr="00C67A1C" w:rsidRDefault="003608FC" w:rsidP="00C643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>La répartition des suspicions de fraude</w:t>
                            </w:r>
                            <w:r w:rsidRPr="00C67A1C">
                              <w:rPr>
                                <w:color w:val="0070C0"/>
                              </w:rPr>
                              <w:t> : 53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en contrôle sur pièce et 47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en contrôle sur place</w:t>
                            </w:r>
                          </w:p>
                          <w:p w14:paraId="0A8B68DA" w14:textId="77777777" w:rsidR="003608FC" w:rsidRPr="00C67A1C" w:rsidRDefault="003608FC" w:rsidP="00C643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>La répartition des fraudes</w:t>
                            </w:r>
                            <w:r w:rsidRPr="00C67A1C">
                              <w:rPr>
                                <w:color w:val="0070C0"/>
                              </w:rPr>
                              <w:t> : 32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par ciblage datamining, 16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Rac, 15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demandes Gca et 15</w:t>
                            </w:r>
                            <w:r w:rsidR="00A45C9C">
                              <w:rPr>
                                <w:color w:val="0070C0"/>
                              </w:rPr>
                              <w:t> </w:t>
                            </w:r>
                            <w:r w:rsidRPr="00C67A1C">
                              <w:rPr>
                                <w:color w:val="0070C0"/>
                              </w:rPr>
                              <w:t>% signalements partenaires</w:t>
                            </w:r>
                          </w:p>
                          <w:p w14:paraId="21422A92" w14:textId="77777777" w:rsidR="003608FC" w:rsidRDefault="003608FC" w:rsidP="00360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E8369" id="Rectangle : coins arrondis 12" o:spid="_x0000_s1032" style="position:absolute;margin-left:0;margin-top:20.45pt;width:520.5pt;height:148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" fillcolor="window" strokecolor="#5b9bd5" strokeweight="1.5pt">
                <v:stroke joinstyle="miter"/>
                <v:textbox>
                  <w:txbxContent>
                    <w:p w:rsidR="003608FC" w:rsidRPr="00C67A1C" w:rsidRDefault="003608FC" w:rsidP="00C643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>La politique de lutte contre la fraude</w:t>
                      </w:r>
                      <w:r w:rsidRPr="00C67A1C">
                        <w:rPr>
                          <w:color w:val="0070C0"/>
                        </w:rPr>
                        <w:t xml:space="preserve"> menée par la branche est efficace et crédible : 44 897 fraudes ont été qualifiées en 2018 pour un préjudice financier de 304,6 millions d’euros.</w:t>
                      </w:r>
                    </w:p>
                    <w:p w:rsidR="003608FC" w:rsidRPr="00C67A1C" w:rsidRDefault="003608FC" w:rsidP="00C643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>Les typologies de fraudes</w:t>
                      </w:r>
                      <w:r w:rsidRPr="00C67A1C">
                        <w:rPr>
                          <w:color w:val="0070C0"/>
                        </w:rPr>
                        <w:t xml:space="preserve"> détectées en 2018 : 73,1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 xml:space="preserve">% de fraudes </w:t>
                      </w:r>
                      <w:proofErr w:type="gramStart"/>
                      <w:r w:rsidRPr="00C67A1C">
                        <w:rPr>
                          <w:color w:val="0070C0"/>
                        </w:rPr>
                        <w:t>suite à des omissions</w:t>
                      </w:r>
                      <w:proofErr w:type="gramEnd"/>
                      <w:r w:rsidRPr="00C67A1C">
                        <w:rPr>
                          <w:color w:val="0070C0"/>
                        </w:rPr>
                        <w:t xml:space="preserve"> et de fausses déclarations intentionnelles, 18,4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>% de fraude</w:t>
                      </w:r>
                      <w:r w:rsidR="00FE5A0E">
                        <w:rPr>
                          <w:color w:val="0070C0"/>
                        </w:rPr>
                        <w:t>s</w:t>
                      </w:r>
                      <w:r w:rsidRPr="00C67A1C">
                        <w:rPr>
                          <w:color w:val="0070C0"/>
                        </w:rPr>
                        <w:t xml:space="preserve"> à l’isolement et 8,5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>% de faux et usage de faux.</w:t>
                      </w:r>
                    </w:p>
                    <w:p w:rsidR="003608FC" w:rsidRPr="00C67A1C" w:rsidRDefault="003608FC" w:rsidP="00C643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>Les fraudes par prestation</w:t>
                      </w:r>
                      <w:r w:rsidRPr="00C67A1C">
                        <w:rPr>
                          <w:color w:val="0070C0"/>
                        </w:rPr>
                        <w:t> : 47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>% R</w:t>
                      </w:r>
                      <w:r w:rsidR="00A45C9C">
                        <w:rPr>
                          <w:color w:val="0070C0"/>
                        </w:rPr>
                        <w:t>SA</w:t>
                      </w:r>
                      <w:r w:rsidRPr="00C67A1C">
                        <w:rPr>
                          <w:color w:val="0070C0"/>
                        </w:rPr>
                        <w:t>, 17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>% Prime d’activité, 19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>% Aides au logement</w:t>
                      </w:r>
                    </w:p>
                    <w:p w:rsidR="003608FC" w:rsidRPr="00C67A1C" w:rsidRDefault="003608FC" w:rsidP="00C643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>La répartition des suspicions de fraude</w:t>
                      </w:r>
                      <w:r w:rsidRPr="00C67A1C">
                        <w:rPr>
                          <w:color w:val="0070C0"/>
                        </w:rPr>
                        <w:t> : 53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>% en contrôle sur pièce et 47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>% en contrôle sur place</w:t>
                      </w:r>
                    </w:p>
                    <w:p w:rsidR="003608FC" w:rsidRPr="00C67A1C" w:rsidRDefault="003608FC" w:rsidP="00C643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>La répartition des fraudes</w:t>
                      </w:r>
                      <w:r w:rsidRPr="00C67A1C">
                        <w:rPr>
                          <w:color w:val="0070C0"/>
                        </w:rPr>
                        <w:t> : 32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>% par ciblage datamining, 16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>% Rac, 15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 xml:space="preserve">% demandes </w:t>
                      </w:r>
                      <w:proofErr w:type="spellStart"/>
                      <w:r w:rsidRPr="00C67A1C">
                        <w:rPr>
                          <w:color w:val="0070C0"/>
                        </w:rPr>
                        <w:t>Gca</w:t>
                      </w:r>
                      <w:proofErr w:type="spellEnd"/>
                      <w:r w:rsidRPr="00C67A1C">
                        <w:rPr>
                          <w:color w:val="0070C0"/>
                        </w:rPr>
                        <w:t xml:space="preserve"> et 15</w:t>
                      </w:r>
                      <w:r w:rsidR="00A45C9C">
                        <w:rPr>
                          <w:color w:val="0070C0"/>
                        </w:rPr>
                        <w:t> </w:t>
                      </w:r>
                      <w:r w:rsidRPr="00C67A1C">
                        <w:rPr>
                          <w:color w:val="0070C0"/>
                        </w:rPr>
                        <w:t>% signalements partenaires</w:t>
                      </w:r>
                    </w:p>
                    <w:p w:rsidR="003608FC" w:rsidRDefault="003608FC" w:rsidP="003608FC"/>
                  </w:txbxContent>
                </v:textbox>
                <w10:wrap anchorx="margin"/>
              </v:roundrect>
            </w:pict>
          </mc:Fallback>
        </mc:AlternateContent>
      </w:r>
    </w:p>
    <w:p w14:paraId="64ED05D3" w14:textId="77777777" w:rsidR="00D67F36" w:rsidRDefault="00D67F36" w:rsidP="00151988">
      <w:pPr>
        <w:rPr>
          <w:color w:val="0070C0"/>
        </w:rPr>
      </w:pPr>
    </w:p>
    <w:p w14:paraId="74055447" w14:textId="77777777" w:rsidR="00D67F36" w:rsidRDefault="00D67F36" w:rsidP="00151988">
      <w:pPr>
        <w:rPr>
          <w:color w:val="0070C0"/>
        </w:rPr>
      </w:pPr>
    </w:p>
    <w:p w14:paraId="0B7F25D3" w14:textId="77777777" w:rsidR="00D67F36" w:rsidRDefault="00D67F36" w:rsidP="00151988">
      <w:pPr>
        <w:rPr>
          <w:color w:val="0070C0"/>
        </w:rPr>
      </w:pPr>
    </w:p>
    <w:p w14:paraId="27DAD736" w14:textId="77777777" w:rsidR="00D67F36" w:rsidRDefault="00D67F36" w:rsidP="00151988">
      <w:pPr>
        <w:rPr>
          <w:color w:val="0070C0"/>
        </w:rPr>
      </w:pPr>
    </w:p>
    <w:p w14:paraId="117EF801" w14:textId="77777777" w:rsidR="00D67F36" w:rsidRDefault="00D67F36" w:rsidP="00151988">
      <w:pPr>
        <w:rPr>
          <w:color w:val="0070C0"/>
        </w:rPr>
      </w:pPr>
    </w:p>
    <w:p w14:paraId="4EFCF97B" w14:textId="77777777" w:rsidR="00D67F36" w:rsidRDefault="00D67F36" w:rsidP="00151988">
      <w:pPr>
        <w:rPr>
          <w:color w:val="0070C0"/>
        </w:rPr>
      </w:pPr>
    </w:p>
    <w:p w14:paraId="59FBC996" w14:textId="77777777" w:rsidR="00C67A1C" w:rsidRDefault="00EB1051" w:rsidP="00151988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4AB9A" wp14:editId="0AC80AFD">
                <wp:simplePos x="0" y="0"/>
                <wp:positionH relativeFrom="margin">
                  <wp:posOffset>1109980</wp:posOffset>
                </wp:positionH>
                <wp:positionV relativeFrom="paragraph">
                  <wp:posOffset>11430</wp:posOffset>
                </wp:positionV>
                <wp:extent cx="3829050" cy="32385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2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3683C" w14:textId="77777777" w:rsidR="0083244F" w:rsidRPr="00151988" w:rsidRDefault="0083244F" w:rsidP="0083244F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Les résultats attendus</w:t>
                            </w:r>
                            <w:r w:rsidR="0007090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/les conditions de réussite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15D47" id="Rectangle : coins arrondis 3" o:spid="_x0000_s1033" style="position:absolute;margin-left:87.4pt;margin-top:.9pt;width:30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3244F" w:rsidRPr="00151988" w:rsidRDefault="0083244F" w:rsidP="0083244F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Les résultats attendus</w:t>
                      </w:r>
                      <w:r w:rsidR="00070900">
                        <w:rPr>
                          <w:b/>
                          <w:color w:val="0070C0"/>
                          <w:sz w:val="28"/>
                          <w:szCs w:val="28"/>
                        </w:rPr>
                        <w:t>/les conditions de réussite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715A88" w14:textId="77777777" w:rsidR="00C67A1C" w:rsidRDefault="00EB1051" w:rsidP="00151988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A4FCC" wp14:editId="1EB40E51">
                <wp:simplePos x="0" y="0"/>
                <wp:positionH relativeFrom="margin">
                  <wp:posOffset>-461645</wp:posOffset>
                </wp:positionH>
                <wp:positionV relativeFrom="paragraph">
                  <wp:posOffset>163830</wp:posOffset>
                </wp:positionV>
                <wp:extent cx="6657975" cy="311467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1146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0EB50" w14:textId="77777777" w:rsidR="00C67A1C" w:rsidRPr="00C67A1C" w:rsidRDefault="00D2126D" w:rsidP="00C6436F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426"/>
                              <w:jc w:val="both"/>
                            </w:pPr>
                            <w:r w:rsidRPr="003608FC">
                              <w:rPr>
                                <w:b/>
                                <w:color w:val="0070C0"/>
                              </w:rPr>
                              <w:t xml:space="preserve">Il s’agit </w:t>
                            </w:r>
                            <w:r w:rsidR="00C67A1C" w:rsidRPr="003608FC">
                              <w:rPr>
                                <w:b/>
                                <w:color w:val="0070C0"/>
                              </w:rPr>
                              <w:t>de trouver un équilibre</w:t>
                            </w:r>
                            <w:r w:rsidR="00C67A1C" w:rsidRPr="007140DF">
                              <w:rPr>
                                <w:color w:val="0070C0"/>
                              </w:rPr>
                              <w:t xml:space="preserve"> entre la fraude détectée et le respect des droits des allocataires au travers du principe du droit à l’erreur. </w:t>
                            </w:r>
                          </w:p>
                          <w:p w14:paraId="692021AB" w14:textId="77777777" w:rsidR="00DD0D48" w:rsidRDefault="003608FC" w:rsidP="00C643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olor w:val="0070C0"/>
                              </w:rPr>
                            </w:pPr>
                            <w:r w:rsidRPr="003608FC">
                              <w:rPr>
                                <w:b/>
                                <w:color w:val="0070C0"/>
                              </w:rPr>
                              <w:t>Le renforcement de la preuve de l’intentionnalité</w:t>
                            </w:r>
                            <w:r>
                              <w:rPr>
                                <w:color w:val="0070C0"/>
                              </w:rPr>
                              <w:t> : l</w:t>
                            </w:r>
                            <w:r w:rsidR="00C67A1C" w:rsidRPr="00C67A1C">
                              <w:rPr>
                                <w:color w:val="0070C0"/>
                              </w:rPr>
                              <w:t xml:space="preserve">a fraude est à qualifier seulement </w:t>
                            </w:r>
                            <w:r w:rsidR="00DD0D48">
                              <w:rPr>
                                <w:color w:val="0070C0"/>
                              </w:rPr>
                              <w:t>si l’intention de frauder a été prouvée par la Caf.</w:t>
                            </w:r>
                            <w:r w:rsidR="00B12D3A">
                              <w:rPr>
                                <w:color w:val="0070C0"/>
                              </w:rPr>
                              <w:t xml:space="preserve"> Cette preuve de l’intention de frauder </w:t>
                            </w:r>
                            <w:r w:rsidR="007140DF">
                              <w:rPr>
                                <w:color w:val="0070C0"/>
                              </w:rPr>
                              <w:t>suppose que l’allocataire a été informé de ses obligations déclaratives</w:t>
                            </w:r>
                            <w:r w:rsidR="00C6436F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10B89383" w14:textId="77777777" w:rsidR="007140DF" w:rsidRDefault="007140DF" w:rsidP="00C643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olor w:val="0070C0"/>
                              </w:rPr>
                            </w:pPr>
                            <w:r w:rsidRPr="00C6436F">
                              <w:rPr>
                                <w:b/>
                                <w:color w:val="0070C0"/>
                              </w:rPr>
                              <w:t>L</w:t>
                            </w:r>
                            <w:r w:rsidR="00C6436F" w:rsidRPr="00C6436F">
                              <w:rPr>
                                <w:b/>
                                <w:color w:val="0070C0"/>
                              </w:rPr>
                              <w:t>’intentionnalité</w:t>
                            </w:r>
                            <w:r w:rsidR="00C6436F">
                              <w:rPr>
                                <w:color w:val="0070C0"/>
                              </w:rPr>
                              <w:t xml:space="preserve"> peut être difficile à prouver dans certaines situations qui ont été remontées par le réseau : </w:t>
                            </w:r>
                            <w:r w:rsidR="002D60AA">
                              <w:rPr>
                                <w:color w:val="0070C0"/>
                              </w:rPr>
                              <w:t xml:space="preserve">des fiches </w:t>
                            </w:r>
                            <w:r w:rsidR="00974B4D">
                              <w:rPr>
                                <w:color w:val="0070C0"/>
                              </w:rPr>
                              <w:t>d’aide à l’appréciation des c</w:t>
                            </w:r>
                            <w:r w:rsidR="00C6436F">
                              <w:rPr>
                                <w:color w:val="0070C0"/>
                              </w:rPr>
                              <w:t>ritères d’intentionnalité </w:t>
                            </w:r>
                            <w:r w:rsidR="00974B4D">
                              <w:rPr>
                                <w:color w:val="0070C0"/>
                              </w:rPr>
                              <w:t>seront transmises prochainement au réseau.</w:t>
                            </w:r>
                          </w:p>
                          <w:p w14:paraId="13FFBBC5" w14:textId="77777777" w:rsidR="00070900" w:rsidRPr="00070900" w:rsidRDefault="00070900" w:rsidP="00C643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Certains éléments peuvent être exploités pour retenir l’intentionnalité : </w:t>
                            </w:r>
                            <w:r w:rsidR="00352B67">
                              <w:rPr>
                                <w:color w:val="0070C0"/>
                              </w:rPr>
                              <w:t>l’</w:t>
                            </w:r>
                            <w:r>
                              <w:rPr>
                                <w:color w:val="0070C0"/>
                              </w:rPr>
                              <w:t xml:space="preserve">allocataire a fait l’objet d’une </w:t>
                            </w:r>
                            <w:r w:rsidRPr="00070900">
                              <w:rPr>
                                <w:color w:val="0070C0"/>
                              </w:rPr>
                              <w:t>lettre de mise en garde, d</w:t>
                            </w:r>
                            <w:r w:rsidR="00FE5A0E">
                              <w:rPr>
                                <w:color w:val="0070C0"/>
                              </w:rPr>
                              <w:t xml:space="preserve">’une </w:t>
                            </w:r>
                            <w:r w:rsidRPr="00070900">
                              <w:rPr>
                                <w:color w:val="0070C0"/>
                              </w:rPr>
                              <w:t>fraude</w:t>
                            </w:r>
                            <w:r>
                              <w:rPr>
                                <w:color w:val="0070C0"/>
                              </w:rPr>
                              <w:t xml:space="preserve"> ou d</w:t>
                            </w:r>
                            <w:r w:rsidR="00FE5A0E">
                              <w:rPr>
                                <w:color w:val="0070C0"/>
                              </w:rPr>
                              <w:t xml:space="preserve">’une </w:t>
                            </w:r>
                            <w:r>
                              <w:rPr>
                                <w:color w:val="0070C0"/>
                              </w:rPr>
                              <w:t>campagne de régularisation spontanée.</w:t>
                            </w:r>
                          </w:p>
                          <w:p w14:paraId="54D32A5D" w14:textId="77777777" w:rsidR="00C6436F" w:rsidRDefault="00C6436F" w:rsidP="00C643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olor w:val="0070C0"/>
                              </w:rPr>
                            </w:pPr>
                            <w:r w:rsidRPr="00070900">
                              <w:rPr>
                                <w:b/>
                                <w:color w:val="0070C0"/>
                              </w:rPr>
                              <w:t>En cas de doute sur l’intention de frauder</w:t>
                            </w:r>
                            <w:r>
                              <w:rPr>
                                <w:color w:val="0070C0"/>
                              </w:rPr>
                              <w:t>, ce doute profite toujours à l’allocataire.</w:t>
                            </w:r>
                          </w:p>
                          <w:p w14:paraId="440D1BA9" w14:textId="77777777" w:rsidR="00070900" w:rsidRPr="00070900" w:rsidRDefault="00070900" w:rsidP="00C643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Conformément à la BP6 Appliquer les consignes en matière de suspicion de fraude du processus</w:t>
                            </w:r>
                            <w:r w:rsidR="00A45C9C">
                              <w:rPr>
                                <w:b/>
                                <w:color w:val="0070C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PM232, </w:t>
                            </w:r>
                            <w:r w:rsidRPr="00070900">
                              <w:rPr>
                                <w:color w:val="0070C0"/>
                              </w:rPr>
                              <w:t xml:space="preserve">les critères de suspicion de fraude sont à rappeler </w:t>
                            </w:r>
                            <w:r>
                              <w:rPr>
                                <w:color w:val="0070C0"/>
                              </w:rPr>
                              <w:t>a minima 1 fois par an auprès des équipes ayant en charge le traitement des contrôles sur pièce.</w:t>
                            </w:r>
                          </w:p>
                          <w:p w14:paraId="45EAEF1F" w14:textId="77777777" w:rsidR="00CC5716" w:rsidRPr="00C6436F" w:rsidRDefault="00CC5716" w:rsidP="008324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B8002" id="Rectangle : coins arrondis 6" o:spid="_x0000_s1034" style="position:absolute;margin-left:-36.35pt;margin-top:12.9pt;width:524.25pt;height:2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" fillcolor="white [3201]" strokecolor="#ed7d31 [3205]" strokeweight="1.5pt">
                <v:stroke joinstyle="miter"/>
                <v:textbox>
                  <w:txbxContent>
                    <w:p w:rsidR="00C67A1C" w:rsidRPr="00C67A1C" w:rsidRDefault="00D2126D" w:rsidP="00C6436F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ind w:left="426"/>
                        <w:jc w:val="both"/>
                      </w:pPr>
                      <w:r w:rsidRPr="003608FC">
                        <w:rPr>
                          <w:b/>
                          <w:color w:val="0070C0"/>
                        </w:rPr>
                        <w:t xml:space="preserve">Il s’agit </w:t>
                      </w:r>
                      <w:r w:rsidR="00C67A1C" w:rsidRPr="003608FC">
                        <w:rPr>
                          <w:b/>
                          <w:color w:val="0070C0"/>
                        </w:rPr>
                        <w:t>de trouver un équilibre</w:t>
                      </w:r>
                      <w:r w:rsidR="00C67A1C" w:rsidRPr="007140DF">
                        <w:rPr>
                          <w:color w:val="0070C0"/>
                        </w:rPr>
                        <w:t xml:space="preserve"> entre la fraude détectée et le respect des droits des allocataires au travers du principe du droit à l’erreur. </w:t>
                      </w:r>
                    </w:p>
                    <w:p w:rsidR="00DD0D48" w:rsidRDefault="003608FC" w:rsidP="00C6436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color w:val="0070C0"/>
                        </w:rPr>
                      </w:pPr>
                      <w:r w:rsidRPr="003608FC">
                        <w:rPr>
                          <w:b/>
                          <w:color w:val="0070C0"/>
                        </w:rPr>
                        <w:t>Le renforcement de la preuve de l’intentionnalité</w:t>
                      </w:r>
                      <w:r>
                        <w:rPr>
                          <w:color w:val="0070C0"/>
                        </w:rPr>
                        <w:t> : l</w:t>
                      </w:r>
                      <w:r w:rsidR="00C67A1C" w:rsidRPr="00C67A1C">
                        <w:rPr>
                          <w:color w:val="0070C0"/>
                        </w:rPr>
                        <w:t xml:space="preserve">a fraude est à qualifier seulement </w:t>
                      </w:r>
                      <w:r w:rsidR="00DD0D48">
                        <w:rPr>
                          <w:color w:val="0070C0"/>
                        </w:rPr>
                        <w:t>si l’intention de frauder a été prouvée par la Caf.</w:t>
                      </w:r>
                      <w:r w:rsidR="00B12D3A">
                        <w:rPr>
                          <w:color w:val="0070C0"/>
                        </w:rPr>
                        <w:t xml:space="preserve"> Cette preuve de l’intention de frauder </w:t>
                      </w:r>
                      <w:r w:rsidR="007140DF">
                        <w:rPr>
                          <w:color w:val="0070C0"/>
                        </w:rPr>
                        <w:t>suppose que l’allocataire a été informé de ses obligations déclaratives</w:t>
                      </w:r>
                      <w:r w:rsidR="00C6436F">
                        <w:rPr>
                          <w:color w:val="0070C0"/>
                        </w:rPr>
                        <w:t>.</w:t>
                      </w:r>
                    </w:p>
                    <w:p w:rsidR="007140DF" w:rsidRDefault="007140DF" w:rsidP="00C6436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color w:val="0070C0"/>
                        </w:rPr>
                      </w:pPr>
                      <w:r w:rsidRPr="00C6436F">
                        <w:rPr>
                          <w:b/>
                          <w:color w:val="0070C0"/>
                        </w:rPr>
                        <w:t>L</w:t>
                      </w:r>
                      <w:r w:rsidR="00C6436F" w:rsidRPr="00C6436F">
                        <w:rPr>
                          <w:b/>
                          <w:color w:val="0070C0"/>
                        </w:rPr>
                        <w:t>’intentionnalité</w:t>
                      </w:r>
                      <w:r w:rsidR="00C6436F">
                        <w:rPr>
                          <w:color w:val="0070C0"/>
                        </w:rPr>
                        <w:t xml:space="preserve"> peut être difficile à prouver dans certaines situations qui ont été remontées par le réseau : </w:t>
                      </w:r>
                      <w:r w:rsidR="002D60AA">
                        <w:rPr>
                          <w:color w:val="0070C0"/>
                        </w:rPr>
                        <w:t xml:space="preserve">des fiches </w:t>
                      </w:r>
                      <w:r w:rsidR="00974B4D">
                        <w:rPr>
                          <w:color w:val="0070C0"/>
                        </w:rPr>
                        <w:t>d’aide à l’appréciation des c</w:t>
                      </w:r>
                      <w:r w:rsidR="00C6436F">
                        <w:rPr>
                          <w:color w:val="0070C0"/>
                        </w:rPr>
                        <w:t>ritères d’intentionnalité </w:t>
                      </w:r>
                      <w:r w:rsidR="00974B4D">
                        <w:rPr>
                          <w:color w:val="0070C0"/>
                        </w:rPr>
                        <w:t>seront transmises prochainement au réseau.</w:t>
                      </w:r>
                    </w:p>
                    <w:p w:rsidR="00070900" w:rsidRPr="00070900" w:rsidRDefault="00070900" w:rsidP="00C6436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Certains éléments peuvent être exploités pour retenir l’intentionnalité : </w:t>
                      </w:r>
                      <w:r w:rsidR="00352B67">
                        <w:rPr>
                          <w:color w:val="0070C0"/>
                        </w:rPr>
                        <w:t>l’</w:t>
                      </w:r>
                      <w:bookmarkStart w:id="1" w:name="_GoBack"/>
                      <w:bookmarkEnd w:id="1"/>
                      <w:r>
                        <w:rPr>
                          <w:color w:val="0070C0"/>
                        </w:rPr>
                        <w:t xml:space="preserve">allocataire a fait l’objet d’une </w:t>
                      </w:r>
                      <w:r w:rsidRPr="00070900">
                        <w:rPr>
                          <w:color w:val="0070C0"/>
                        </w:rPr>
                        <w:t>lettre de mise en garde, d</w:t>
                      </w:r>
                      <w:r w:rsidR="00FE5A0E">
                        <w:rPr>
                          <w:color w:val="0070C0"/>
                        </w:rPr>
                        <w:t xml:space="preserve">’une </w:t>
                      </w:r>
                      <w:r w:rsidRPr="00070900">
                        <w:rPr>
                          <w:color w:val="0070C0"/>
                        </w:rPr>
                        <w:t>fraude</w:t>
                      </w:r>
                      <w:r>
                        <w:rPr>
                          <w:color w:val="0070C0"/>
                        </w:rPr>
                        <w:t xml:space="preserve"> ou d</w:t>
                      </w:r>
                      <w:r w:rsidR="00FE5A0E">
                        <w:rPr>
                          <w:color w:val="0070C0"/>
                        </w:rPr>
                        <w:t xml:space="preserve">’une </w:t>
                      </w:r>
                      <w:r>
                        <w:rPr>
                          <w:color w:val="0070C0"/>
                        </w:rPr>
                        <w:t>campagne de régularisation spontanée.</w:t>
                      </w:r>
                    </w:p>
                    <w:p w:rsidR="00C6436F" w:rsidRDefault="00C6436F" w:rsidP="00C6436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color w:val="0070C0"/>
                        </w:rPr>
                      </w:pPr>
                      <w:r w:rsidRPr="00070900">
                        <w:rPr>
                          <w:b/>
                          <w:color w:val="0070C0"/>
                        </w:rPr>
                        <w:t>En cas de doute sur l’intention de frauder</w:t>
                      </w:r>
                      <w:r>
                        <w:rPr>
                          <w:color w:val="0070C0"/>
                        </w:rPr>
                        <w:t>, ce doute profite toujours à l’allocataire.</w:t>
                      </w:r>
                    </w:p>
                    <w:p w:rsidR="00070900" w:rsidRPr="00070900" w:rsidRDefault="00070900" w:rsidP="00C6436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Conformément à la BP6 Appliquer les consignes en matière de suspicion de fraude du processus</w:t>
                      </w:r>
                      <w:r w:rsidR="00A45C9C">
                        <w:rPr>
                          <w:b/>
                          <w:color w:val="0070C0"/>
                        </w:rPr>
                        <w:t> </w:t>
                      </w:r>
                      <w:r>
                        <w:rPr>
                          <w:b/>
                          <w:color w:val="0070C0"/>
                        </w:rPr>
                        <w:t xml:space="preserve">PM232, </w:t>
                      </w:r>
                      <w:r w:rsidRPr="00070900">
                        <w:rPr>
                          <w:color w:val="0070C0"/>
                        </w:rPr>
                        <w:t xml:space="preserve">les critères de suspicion de fraude sont à rappeler </w:t>
                      </w:r>
                      <w:proofErr w:type="gramStart"/>
                      <w:r>
                        <w:rPr>
                          <w:color w:val="0070C0"/>
                        </w:rPr>
                        <w:t>a</w:t>
                      </w:r>
                      <w:proofErr w:type="gramEnd"/>
                      <w:r>
                        <w:rPr>
                          <w:color w:val="0070C0"/>
                        </w:rPr>
                        <w:t xml:space="preserve"> minima 1 fois par an auprès des équipes ayant en charge le traitement des contrôles sur pièce.</w:t>
                      </w:r>
                    </w:p>
                    <w:p w:rsidR="00CC5716" w:rsidRPr="00C6436F" w:rsidRDefault="00CC5716" w:rsidP="008324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AAE17C" w14:textId="77777777" w:rsidR="0083244F" w:rsidRDefault="0083244F" w:rsidP="00151988">
      <w:pPr>
        <w:rPr>
          <w:color w:val="0070C0"/>
        </w:rPr>
      </w:pPr>
    </w:p>
    <w:p w14:paraId="54990FDD" w14:textId="77777777" w:rsidR="00151988" w:rsidRDefault="00151988" w:rsidP="00151988"/>
    <w:p w14:paraId="0F026582" w14:textId="77777777" w:rsidR="00151988" w:rsidRDefault="00151988" w:rsidP="00151988">
      <w:pPr>
        <w:rPr>
          <w:b/>
          <w:color w:val="0070C0"/>
          <w:sz w:val="28"/>
          <w:szCs w:val="28"/>
        </w:rPr>
      </w:pPr>
    </w:p>
    <w:p w14:paraId="69FCE5FE" w14:textId="77777777" w:rsidR="0083244F" w:rsidRDefault="0083244F" w:rsidP="00151988">
      <w:pPr>
        <w:rPr>
          <w:b/>
          <w:color w:val="0070C0"/>
          <w:sz w:val="28"/>
          <w:szCs w:val="28"/>
        </w:rPr>
      </w:pPr>
    </w:p>
    <w:p w14:paraId="26104333" w14:textId="77777777" w:rsidR="0083244F" w:rsidRDefault="0083244F" w:rsidP="00151988">
      <w:pPr>
        <w:rPr>
          <w:b/>
          <w:color w:val="0070C0"/>
          <w:sz w:val="28"/>
          <w:szCs w:val="28"/>
        </w:rPr>
      </w:pPr>
    </w:p>
    <w:p w14:paraId="58EED404" w14:textId="77777777" w:rsidR="0083244F" w:rsidRDefault="0083244F" w:rsidP="00151988">
      <w:pPr>
        <w:rPr>
          <w:b/>
          <w:color w:val="0070C0"/>
          <w:sz w:val="28"/>
          <w:szCs w:val="28"/>
        </w:rPr>
      </w:pPr>
    </w:p>
    <w:p w14:paraId="5D488B26" w14:textId="77777777" w:rsidR="00D22533" w:rsidRDefault="00D22533" w:rsidP="00D2253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fr-FR"/>
        </w:rPr>
      </w:pPr>
    </w:p>
    <w:p w14:paraId="430F07A6" w14:textId="77777777" w:rsidR="003608FC" w:rsidRDefault="00D22533" w:rsidP="00D2253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fr-FR"/>
        </w:rPr>
      </w:pPr>
      <w:r>
        <w:rPr>
          <w:rFonts w:ascii="Arial" w:eastAsia="Arial" w:hAnsi="Arial" w:cs="Arial"/>
          <w:kern w:val="3"/>
          <w:sz w:val="20"/>
          <w:szCs w:val="20"/>
          <w:lang w:eastAsia="fr-FR"/>
        </w:rPr>
        <w:t>L</w:t>
      </w:r>
    </w:p>
    <w:p w14:paraId="32A532CA" w14:textId="77777777" w:rsidR="0083244F" w:rsidRPr="00151988" w:rsidRDefault="0083244F" w:rsidP="00151988">
      <w:pPr>
        <w:rPr>
          <w:b/>
          <w:color w:val="0070C0"/>
          <w:sz w:val="28"/>
          <w:szCs w:val="28"/>
        </w:rPr>
      </w:pPr>
    </w:p>
    <w:sectPr w:rsidR="0083244F" w:rsidRPr="00151988" w:rsidSect="001519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2BE5" w14:textId="77777777" w:rsidR="007E5864" w:rsidRDefault="007E5864" w:rsidP="001F58FD">
      <w:pPr>
        <w:spacing w:after="0" w:line="240" w:lineRule="auto"/>
      </w:pPr>
      <w:r>
        <w:separator/>
      </w:r>
    </w:p>
  </w:endnote>
  <w:endnote w:type="continuationSeparator" w:id="0">
    <w:p w14:paraId="0EC13F0A" w14:textId="77777777" w:rsidR="007E5864" w:rsidRDefault="007E5864" w:rsidP="001F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CF1" w14:textId="77777777" w:rsidR="007E5864" w:rsidRDefault="007E5864" w:rsidP="001F58FD">
      <w:pPr>
        <w:spacing w:after="0" w:line="240" w:lineRule="auto"/>
      </w:pPr>
      <w:r>
        <w:separator/>
      </w:r>
    </w:p>
  </w:footnote>
  <w:footnote w:type="continuationSeparator" w:id="0">
    <w:p w14:paraId="0A3D740B" w14:textId="77777777" w:rsidR="007E5864" w:rsidRDefault="007E5864" w:rsidP="001F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73C7"/>
    <w:multiLevelType w:val="hybridMultilevel"/>
    <w:tmpl w:val="E106312E"/>
    <w:lvl w:ilvl="0" w:tplc="144E5A90">
      <w:start w:val="1"/>
      <w:numFmt w:val="bullet"/>
      <w:lvlText w:val="-"/>
      <w:lvlJc w:val="left"/>
      <w:pPr>
        <w:ind w:left="-1200" w:hanging="360"/>
      </w:pPr>
      <w:rPr>
        <w:rFonts w:ascii="Arial" w:eastAsia="Times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1624"/>
    <w:multiLevelType w:val="hybridMultilevel"/>
    <w:tmpl w:val="135869CA"/>
    <w:lvl w:ilvl="0" w:tplc="C64E5194">
      <w:start w:val="2"/>
      <w:numFmt w:val="bullet"/>
      <w:lvlText w:val="-"/>
      <w:lvlJc w:val="left"/>
      <w:pPr>
        <w:ind w:left="-120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4E560B21"/>
    <w:multiLevelType w:val="hybridMultilevel"/>
    <w:tmpl w:val="0F383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1169"/>
    <w:multiLevelType w:val="hybridMultilevel"/>
    <w:tmpl w:val="04848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513AB"/>
    <w:multiLevelType w:val="hybridMultilevel"/>
    <w:tmpl w:val="6F4AF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5F3E"/>
    <w:multiLevelType w:val="hybridMultilevel"/>
    <w:tmpl w:val="2F08D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59405">
    <w:abstractNumId w:val="0"/>
  </w:num>
  <w:num w:numId="2" w16cid:durableId="215747218">
    <w:abstractNumId w:val="1"/>
  </w:num>
  <w:num w:numId="3" w16cid:durableId="1402557996">
    <w:abstractNumId w:val="4"/>
  </w:num>
  <w:num w:numId="4" w16cid:durableId="1900435914">
    <w:abstractNumId w:val="5"/>
  </w:num>
  <w:num w:numId="5" w16cid:durableId="1733380316">
    <w:abstractNumId w:val="2"/>
  </w:num>
  <w:num w:numId="6" w16cid:durableId="318850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88"/>
    <w:rsid w:val="00070900"/>
    <w:rsid w:val="000E5D03"/>
    <w:rsid w:val="000F30F2"/>
    <w:rsid w:val="00112F9A"/>
    <w:rsid w:val="001270BC"/>
    <w:rsid w:val="00151988"/>
    <w:rsid w:val="001D6CBA"/>
    <w:rsid w:val="001E6C3D"/>
    <w:rsid w:val="001F1062"/>
    <w:rsid w:val="001F58FD"/>
    <w:rsid w:val="0022255C"/>
    <w:rsid w:val="002514DF"/>
    <w:rsid w:val="002D60AA"/>
    <w:rsid w:val="00352B67"/>
    <w:rsid w:val="003608FC"/>
    <w:rsid w:val="003D41CE"/>
    <w:rsid w:val="00503737"/>
    <w:rsid w:val="0050706B"/>
    <w:rsid w:val="00562A6F"/>
    <w:rsid w:val="005C3F8E"/>
    <w:rsid w:val="006A5D55"/>
    <w:rsid w:val="007140DF"/>
    <w:rsid w:val="00746318"/>
    <w:rsid w:val="007521E4"/>
    <w:rsid w:val="007C3A23"/>
    <w:rsid w:val="007E5864"/>
    <w:rsid w:val="0083244F"/>
    <w:rsid w:val="00874AEB"/>
    <w:rsid w:val="008A5061"/>
    <w:rsid w:val="008C24CE"/>
    <w:rsid w:val="00974B4D"/>
    <w:rsid w:val="009A789C"/>
    <w:rsid w:val="00A115F0"/>
    <w:rsid w:val="00A45C9C"/>
    <w:rsid w:val="00A716B2"/>
    <w:rsid w:val="00A72190"/>
    <w:rsid w:val="00A73316"/>
    <w:rsid w:val="00B12D3A"/>
    <w:rsid w:val="00C6436F"/>
    <w:rsid w:val="00C67A1C"/>
    <w:rsid w:val="00C856AB"/>
    <w:rsid w:val="00C92550"/>
    <w:rsid w:val="00CA51B5"/>
    <w:rsid w:val="00CC5716"/>
    <w:rsid w:val="00CC5D88"/>
    <w:rsid w:val="00CC5FC5"/>
    <w:rsid w:val="00D2126D"/>
    <w:rsid w:val="00D22533"/>
    <w:rsid w:val="00D445CF"/>
    <w:rsid w:val="00D67F36"/>
    <w:rsid w:val="00DB024E"/>
    <w:rsid w:val="00DC79DA"/>
    <w:rsid w:val="00DD0D48"/>
    <w:rsid w:val="00E261A9"/>
    <w:rsid w:val="00E46A00"/>
    <w:rsid w:val="00E73EE1"/>
    <w:rsid w:val="00EB1051"/>
    <w:rsid w:val="00EC17C9"/>
    <w:rsid w:val="00ED7AB4"/>
    <w:rsid w:val="00F1630A"/>
    <w:rsid w:val="00F605C8"/>
    <w:rsid w:val="00FB32D2"/>
    <w:rsid w:val="00FE5A0E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261B"/>
  <w15:chartTrackingRefBased/>
  <w15:docId w15:val="{8E9105B1-CC2C-4468-AD61-F146DF72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FD"/>
  </w:style>
  <w:style w:type="paragraph" w:styleId="Footer">
    <w:name w:val="footer"/>
    <w:basedOn w:val="Normal"/>
    <w:link w:val="FooterChar"/>
    <w:uiPriority w:val="99"/>
    <w:unhideWhenUsed/>
    <w:rsid w:val="001F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VIDAL 755</dc:creator>
  <cp:keywords/>
  <dc:description/>
  <cp:lastModifiedBy>Antoine Math</cp:lastModifiedBy>
  <cp:revision>2</cp:revision>
  <dcterms:created xsi:type="dcterms:W3CDTF">2024-04-14T07:35:00Z</dcterms:created>
  <dcterms:modified xsi:type="dcterms:W3CDTF">2024-04-14T07:35:00Z</dcterms:modified>
</cp:coreProperties>
</file>