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948" w:rsidRPr="001B30BC" w:rsidRDefault="002C3948" w:rsidP="001B30BC">
      <w:pPr>
        <w:jc w:val="both"/>
        <w:rPr>
          <w:b/>
          <w:color w:val="C90081" w:themeColor="accent3"/>
          <w:szCs w:val="20"/>
        </w:rPr>
      </w:pPr>
      <w:bookmarkStart w:id="0" w:name="_GoBack"/>
      <w:bookmarkEnd w:id="0"/>
      <w:r w:rsidRPr="001B30BC">
        <w:rPr>
          <w:b/>
          <w:noProof/>
          <w:color w:val="C90081" w:themeColor="accent3"/>
          <w:szCs w:val="20"/>
          <w:lang w:eastAsia="fr-FR"/>
        </w:rPr>
        <w:drawing>
          <wp:anchor distT="0" distB="0" distL="114300" distR="114300" simplePos="0" relativeHeight="251659264" behindDoc="0" locked="0" layoutInCell="1" allowOverlap="1">
            <wp:simplePos x="0" y="0"/>
            <wp:positionH relativeFrom="column">
              <wp:posOffset>-204470</wp:posOffset>
            </wp:positionH>
            <wp:positionV relativeFrom="paragraph">
              <wp:posOffset>-604520</wp:posOffset>
            </wp:positionV>
            <wp:extent cx="1495425" cy="581025"/>
            <wp:effectExtent l="19050" t="0" r="9525" b="0"/>
            <wp:wrapThrough wrapText="bothSides">
              <wp:wrapPolygon edited="0">
                <wp:start x="-275" y="0"/>
                <wp:lineTo x="-275" y="21246"/>
                <wp:lineTo x="21738" y="21246"/>
                <wp:lineTo x="21738" y="0"/>
                <wp:lineTo x="-275" y="0"/>
              </wp:wrapPolygon>
            </wp:wrapThrough>
            <wp:docPr id="1" name="Image 1" descr="C:\Users\unccas\AppData\Local\Microsoft\Windows\Temporary Internet Files\Content.Outlook\5JGV0OR0\Nouveau logo UNCCAS 2015_CMJ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ccas\AppData\Local\Microsoft\Windows\Temporary Internet Files\Content.Outlook\5JGV0OR0\Nouveau logo UNCCAS 2015_CMJN.tif"/>
                    <pic:cNvPicPr>
                      <a:picLocks noChangeAspect="1" noChangeArrowheads="1"/>
                    </pic:cNvPicPr>
                  </pic:nvPicPr>
                  <pic:blipFill>
                    <a:blip r:embed="rId6" cstate="print"/>
                    <a:srcRect/>
                    <a:stretch>
                      <a:fillRect/>
                    </a:stretch>
                  </pic:blipFill>
                  <pic:spPr bwMode="auto">
                    <a:xfrm>
                      <a:off x="0" y="0"/>
                      <a:ext cx="1495425" cy="581025"/>
                    </a:xfrm>
                    <a:prstGeom prst="rect">
                      <a:avLst/>
                    </a:prstGeom>
                    <a:noFill/>
                    <a:ln w="9525">
                      <a:noFill/>
                      <a:miter lim="800000"/>
                      <a:headEnd/>
                      <a:tailEnd/>
                    </a:ln>
                  </pic:spPr>
                </pic:pic>
              </a:graphicData>
            </a:graphic>
          </wp:anchor>
        </w:drawing>
      </w:r>
    </w:p>
    <w:p w:rsidR="002C3948" w:rsidRPr="00284D5A" w:rsidRDefault="002C3948" w:rsidP="001B30BC">
      <w:pPr>
        <w:jc w:val="both"/>
        <w:rPr>
          <w:b/>
          <w:szCs w:val="20"/>
        </w:rPr>
      </w:pPr>
      <w:r w:rsidRPr="00284D5A">
        <w:rPr>
          <w:b/>
          <w:szCs w:val="20"/>
        </w:rPr>
        <w:t xml:space="preserve">Politiques sociales : </w:t>
      </w:r>
      <w:r w:rsidRPr="00284D5A">
        <w:rPr>
          <w:szCs w:val="20"/>
        </w:rPr>
        <w:t>Accès aux droits, Domiciliation</w:t>
      </w:r>
    </w:p>
    <w:p w:rsidR="002C3948" w:rsidRPr="00284D5A" w:rsidRDefault="002C3948" w:rsidP="001B30BC">
      <w:pPr>
        <w:jc w:val="both"/>
        <w:rPr>
          <w:b/>
          <w:szCs w:val="20"/>
        </w:rPr>
      </w:pPr>
      <w:r w:rsidRPr="00284D5A">
        <w:rPr>
          <w:b/>
          <w:szCs w:val="20"/>
        </w:rPr>
        <w:t xml:space="preserve">Date de création : </w:t>
      </w:r>
      <w:r w:rsidRPr="00284D5A">
        <w:rPr>
          <w:szCs w:val="20"/>
        </w:rPr>
        <w:t>19 / 09 / 2016</w:t>
      </w:r>
    </w:p>
    <w:p w:rsidR="002C3948" w:rsidRPr="001B30BC" w:rsidRDefault="002C3948" w:rsidP="001B30BC">
      <w:pPr>
        <w:jc w:val="both"/>
        <w:rPr>
          <w:b/>
          <w:color w:val="C90081" w:themeColor="accent3"/>
          <w:szCs w:val="20"/>
        </w:rPr>
      </w:pPr>
    </w:p>
    <w:p w:rsidR="002C3948" w:rsidRPr="001B30BC" w:rsidRDefault="002C3948" w:rsidP="001B30BC">
      <w:pPr>
        <w:jc w:val="both"/>
        <w:rPr>
          <w:b/>
          <w:color w:val="C90081" w:themeColor="accent3"/>
          <w:szCs w:val="20"/>
        </w:rPr>
      </w:pPr>
      <w:r w:rsidRPr="001B30BC">
        <w:rPr>
          <w:b/>
          <w:color w:val="C90081" w:themeColor="accent3"/>
          <w:szCs w:val="20"/>
        </w:rPr>
        <w:t xml:space="preserve"> </w:t>
      </w:r>
    </w:p>
    <w:p w:rsidR="002C3948" w:rsidRPr="001B30BC" w:rsidRDefault="002C3948" w:rsidP="001B30BC">
      <w:pPr>
        <w:pBdr>
          <w:top w:val="single" w:sz="4" w:space="1" w:color="C90081" w:themeColor="accent3"/>
          <w:left w:val="single" w:sz="4" w:space="4" w:color="C90081" w:themeColor="accent3"/>
          <w:bottom w:val="single" w:sz="4" w:space="1" w:color="C90081" w:themeColor="accent3"/>
          <w:right w:val="single" w:sz="4" w:space="4" w:color="C90081" w:themeColor="accent3"/>
        </w:pBdr>
        <w:jc w:val="center"/>
        <w:rPr>
          <w:color w:val="C90081" w:themeColor="accent3"/>
          <w:szCs w:val="20"/>
        </w:rPr>
      </w:pPr>
      <w:r w:rsidRPr="001B30BC">
        <w:rPr>
          <w:color w:val="C90081" w:themeColor="accent3"/>
          <w:szCs w:val="20"/>
        </w:rPr>
        <w:t>Fiche pratique Domiciliation :</w:t>
      </w:r>
    </w:p>
    <w:p w:rsidR="002C3948" w:rsidRPr="001B30BC" w:rsidRDefault="006D1BD5" w:rsidP="001B30BC">
      <w:pPr>
        <w:pBdr>
          <w:top w:val="single" w:sz="4" w:space="1" w:color="C90081" w:themeColor="accent3"/>
          <w:left w:val="single" w:sz="4" w:space="4" w:color="C90081" w:themeColor="accent3"/>
          <w:bottom w:val="single" w:sz="4" w:space="1" w:color="C90081" w:themeColor="accent3"/>
          <w:right w:val="single" w:sz="4" w:space="4" w:color="C90081" w:themeColor="accent3"/>
        </w:pBdr>
        <w:jc w:val="center"/>
        <w:rPr>
          <w:b/>
          <w:color w:val="C90081" w:themeColor="accent3"/>
          <w:szCs w:val="20"/>
        </w:rPr>
      </w:pPr>
      <w:r>
        <w:rPr>
          <w:b/>
          <w:color w:val="C90081" w:themeColor="accent3"/>
          <w:szCs w:val="20"/>
        </w:rPr>
        <w:t xml:space="preserve">La domiciliation des gens du voyage </w:t>
      </w:r>
    </w:p>
    <w:p w:rsidR="00FC458D" w:rsidRDefault="00FC458D" w:rsidP="00FC458D">
      <w:pPr>
        <w:jc w:val="both"/>
      </w:pPr>
    </w:p>
    <w:p w:rsidR="00FA3D8C" w:rsidRDefault="00FA3D8C" w:rsidP="00FA3D8C">
      <w:pPr>
        <w:autoSpaceDE w:val="0"/>
        <w:autoSpaceDN w:val="0"/>
        <w:adjustRightInd w:val="0"/>
        <w:spacing w:line="240" w:lineRule="auto"/>
        <w:jc w:val="both"/>
      </w:pPr>
    </w:p>
    <w:p w:rsidR="00FA3D8C" w:rsidRPr="00164682" w:rsidRDefault="00FA3D8C" w:rsidP="00FA3D8C">
      <w:pPr>
        <w:autoSpaceDE w:val="0"/>
        <w:autoSpaceDN w:val="0"/>
        <w:adjustRightInd w:val="0"/>
        <w:spacing w:line="240" w:lineRule="auto"/>
        <w:jc w:val="both"/>
        <w:rPr>
          <w:rFonts w:ascii="Arial" w:eastAsiaTheme="minorHAnsi" w:hAnsi="Arial" w:cs="Arial"/>
          <w:b/>
          <w:bCs/>
          <w:color w:val="C90081" w:themeColor="accent3"/>
          <w:szCs w:val="20"/>
        </w:rPr>
      </w:pPr>
    </w:p>
    <w:p w:rsidR="002A006F" w:rsidRPr="00164682" w:rsidRDefault="002A006F" w:rsidP="00FA3D8C">
      <w:pPr>
        <w:autoSpaceDE w:val="0"/>
        <w:autoSpaceDN w:val="0"/>
        <w:adjustRightInd w:val="0"/>
        <w:spacing w:line="240" w:lineRule="auto"/>
        <w:jc w:val="both"/>
        <w:rPr>
          <w:rFonts w:ascii="Arial" w:eastAsiaTheme="minorHAnsi" w:hAnsi="Arial" w:cs="Arial"/>
          <w:b/>
          <w:bCs/>
          <w:color w:val="C90081" w:themeColor="accent3"/>
          <w:szCs w:val="20"/>
        </w:rPr>
      </w:pPr>
      <w:r w:rsidRPr="00164682">
        <w:rPr>
          <w:rFonts w:ascii="Arial" w:eastAsiaTheme="minorHAnsi" w:hAnsi="Arial" w:cs="Arial"/>
          <w:b/>
          <w:bCs/>
          <w:color w:val="C90081" w:themeColor="accent3"/>
          <w:szCs w:val="20"/>
        </w:rPr>
        <w:t>LES MODIFICATIONS APPORTEES PAR LA LOI DU 27 JANVIER 2017 :</w:t>
      </w:r>
    </w:p>
    <w:p w:rsidR="002A006F" w:rsidRPr="006D1BD5" w:rsidRDefault="002A006F" w:rsidP="00FA3D8C">
      <w:pPr>
        <w:autoSpaceDE w:val="0"/>
        <w:autoSpaceDN w:val="0"/>
        <w:adjustRightInd w:val="0"/>
        <w:spacing w:line="240" w:lineRule="auto"/>
        <w:jc w:val="both"/>
        <w:rPr>
          <w:rFonts w:ascii="Arial" w:eastAsiaTheme="minorHAnsi" w:hAnsi="Arial" w:cs="Arial"/>
          <w:bCs/>
          <w:szCs w:val="20"/>
        </w:rPr>
      </w:pPr>
    </w:p>
    <w:p w:rsidR="00FC458D" w:rsidRPr="00FC458D" w:rsidRDefault="00FC458D" w:rsidP="00FC458D">
      <w:pPr>
        <w:jc w:val="both"/>
        <w:rPr>
          <w:rFonts w:asciiTheme="majorHAnsi" w:hAnsiTheme="majorHAnsi" w:cstheme="majorHAnsi"/>
          <w:bCs/>
          <w:szCs w:val="20"/>
        </w:rPr>
      </w:pPr>
      <w:r w:rsidRPr="00D63584">
        <w:rPr>
          <w:rFonts w:asciiTheme="majorHAnsi" w:hAnsiTheme="majorHAnsi" w:cstheme="majorHAnsi"/>
          <w:b/>
          <w:bCs/>
          <w:szCs w:val="20"/>
        </w:rPr>
        <w:t xml:space="preserve">La </w:t>
      </w:r>
      <w:hyperlink r:id="rId7" w:history="1">
        <w:r w:rsidRPr="00D63584">
          <w:rPr>
            <w:rStyle w:val="Lienhypertexte"/>
            <w:rFonts w:asciiTheme="majorHAnsi" w:hAnsiTheme="majorHAnsi" w:cstheme="majorHAnsi"/>
            <w:b/>
            <w:bCs/>
            <w:szCs w:val="20"/>
          </w:rPr>
          <w:t>loi n° 2017-86 du 27 janvier 2017 relative à l'égalité et à la citoyenneté</w:t>
        </w:r>
      </w:hyperlink>
      <w:r w:rsidRPr="00D63584">
        <w:rPr>
          <w:rFonts w:asciiTheme="majorHAnsi" w:hAnsiTheme="majorHAnsi" w:cstheme="majorHAnsi"/>
          <w:b/>
          <w:bCs/>
          <w:szCs w:val="20"/>
        </w:rPr>
        <w:t xml:space="preserve"> a abrogé les spécificités relatives aux gens du voyage. </w:t>
      </w:r>
      <w:r w:rsidRPr="00FC458D">
        <w:rPr>
          <w:rFonts w:asciiTheme="majorHAnsi" w:hAnsiTheme="majorHAnsi" w:cstheme="majorHAnsi"/>
          <w:bCs/>
          <w:szCs w:val="20"/>
        </w:rPr>
        <w:t xml:space="preserve">Cette loi entérine :  </w:t>
      </w:r>
    </w:p>
    <w:p w:rsidR="00FC458D" w:rsidRDefault="00FC458D" w:rsidP="00FC458D">
      <w:pPr>
        <w:pStyle w:val="Paragraphedeliste"/>
        <w:numPr>
          <w:ilvl w:val="0"/>
          <w:numId w:val="10"/>
        </w:numPr>
        <w:spacing w:line="240" w:lineRule="auto"/>
        <w:rPr>
          <w:rFonts w:ascii="Arial" w:hAnsi="Arial" w:cs="Arial"/>
          <w:szCs w:val="20"/>
        </w:rPr>
      </w:pPr>
      <w:proofErr w:type="gramStart"/>
      <w:r w:rsidRPr="00FC458D">
        <w:rPr>
          <w:rFonts w:ascii="Arial" w:hAnsi="Arial" w:cs="Arial"/>
          <w:b/>
          <w:szCs w:val="20"/>
        </w:rPr>
        <w:t>l'abrogation</w:t>
      </w:r>
      <w:proofErr w:type="gramEnd"/>
      <w:r w:rsidRPr="00FC458D">
        <w:rPr>
          <w:rFonts w:ascii="Arial" w:hAnsi="Arial" w:cs="Arial"/>
          <w:b/>
          <w:szCs w:val="20"/>
        </w:rPr>
        <w:t xml:space="preserve"> du rattachement avec la commune pour les gens du voyage</w:t>
      </w:r>
      <w:r>
        <w:rPr>
          <w:rFonts w:ascii="Arial" w:hAnsi="Arial" w:cs="Arial"/>
          <w:szCs w:val="20"/>
        </w:rPr>
        <w:t> ; rattachement qui leur permet</w:t>
      </w:r>
      <w:r w:rsidR="00FA3D8C">
        <w:rPr>
          <w:rFonts w:ascii="Arial" w:hAnsi="Arial" w:cs="Arial"/>
          <w:szCs w:val="20"/>
        </w:rPr>
        <w:t>tait</w:t>
      </w:r>
      <w:r>
        <w:rPr>
          <w:rFonts w:ascii="Arial" w:hAnsi="Arial" w:cs="Arial"/>
          <w:szCs w:val="20"/>
        </w:rPr>
        <w:t xml:space="preserve"> d'effectuer toutes les démarches rattachées au domicile (célébration du mariage, inscription sur les listes électorales, accomplissement des obligations fiscales, de couverture sociale et de la législation sur l'aide aux travailleurs sans emploi et l'obligation du service national) ;</w:t>
      </w:r>
    </w:p>
    <w:p w:rsidR="00FC458D" w:rsidRDefault="00FC458D" w:rsidP="00FC458D">
      <w:pPr>
        <w:pStyle w:val="Paragraphedeliste"/>
        <w:numPr>
          <w:ilvl w:val="0"/>
          <w:numId w:val="10"/>
        </w:numPr>
        <w:spacing w:line="240" w:lineRule="auto"/>
        <w:rPr>
          <w:rFonts w:ascii="Arial" w:hAnsi="Arial" w:cs="Arial"/>
          <w:szCs w:val="20"/>
        </w:rPr>
      </w:pPr>
      <w:proofErr w:type="gramStart"/>
      <w:r w:rsidRPr="00FC458D">
        <w:rPr>
          <w:rFonts w:ascii="Arial" w:hAnsi="Arial" w:cs="Arial"/>
          <w:b/>
          <w:szCs w:val="20"/>
        </w:rPr>
        <w:t>l'élection</w:t>
      </w:r>
      <w:proofErr w:type="gramEnd"/>
      <w:r w:rsidRPr="00FC458D">
        <w:rPr>
          <w:rFonts w:ascii="Arial" w:hAnsi="Arial" w:cs="Arial"/>
          <w:b/>
          <w:szCs w:val="20"/>
        </w:rPr>
        <w:t xml:space="preserve"> de domicile comme unique domicile légal</w:t>
      </w:r>
      <w:r w:rsidR="00FA3D8C">
        <w:rPr>
          <w:rFonts w:ascii="Arial" w:hAnsi="Arial" w:cs="Arial"/>
          <w:szCs w:val="20"/>
        </w:rPr>
        <w:t xml:space="preserve"> pour les gens du voyage.</w:t>
      </w:r>
    </w:p>
    <w:p w:rsidR="00FA3D8C" w:rsidRDefault="00FA3D8C" w:rsidP="00FA3D8C">
      <w:pPr>
        <w:pStyle w:val="Paragraphedeliste"/>
        <w:numPr>
          <w:ilvl w:val="0"/>
          <w:numId w:val="10"/>
        </w:numPr>
        <w:spacing w:line="240" w:lineRule="auto"/>
        <w:jc w:val="both"/>
        <w:rPr>
          <w:rFonts w:ascii="Arial" w:hAnsi="Arial" w:cs="Arial"/>
          <w:szCs w:val="20"/>
        </w:rPr>
      </w:pPr>
      <w:proofErr w:type="gramStart"/>
      <w:r w:rsidRPr="00FA3D8C">
        <w:rPr>
          <w:rFonts w:ascii="Arial" w:hAnsi="Arial" w:cs="Arial"/>
          <w:b/>
          <w:szCs w:val="20"/>
        </w:rPr>
        <w:t>l'instauration</w:t>
      </w:r>
      <w:proofErr w:type="gramEnd"/>
      <w:r w:rsidRPr="00FA3D8C">
        <w:rPr>
          <w:rFonts w:ascii="Arial" w:hAnsi="Arial" w:cs="Arial"/>
          <w:b/>
          <w:szCs w:val="20"/>
        </w:rPr>
        <w:t xml:space="preserve"> d'un délai transitoire de deux ans</w:t>
      </w:r>
      <w:r>
        <w:rPr>
          <w:rFonts w:ascii="Arial" w:hAnsi="Arial" w:cs="Arial"/>
          <w:szCs w:val="20"/>
        </w:rPr>
        <w:t xml:space="preserve"> à l'issue de la promulgation de cette loi, délai durant lequel une personne précédemment rattachée à une commune sans domicile ni résidence fixe et qui n’a pas établi de domicile ou de domiciliation au sein d’un autre organisme est de droit domiciliée auprès du CCAS ou du CIAS de cette commune.</w:t>
      </w:r>
    </w:p>
    <w:p w:rsidR="00FA3D8C" w:rsidRDefault="00FA3D8C" w:rsidP="00FA3D8C">
      <w:pPr>
        <w:rPr>
          <w:rFonts w:ascii="Arial" w:hAnsi="Arial" w:cs="Arial"/>
          <w:szCs w:val="20"/>
        </w:rPr>
      </w:pPr>
    </w:p>
    <w:p w:rsidR="00FA3D8C" w:rsidRDefault="004A6CD7" w:rsidP="009A217F">
      <w:pPr>
        <w:jc w:val="both"/>
        <w:rPr>
          <w:rFonts w:ascii="Arial" w:hAnsi="Arial" w:cs="Arial"/>
          <w:szCs w:val="20"/>
        </w:rPr>
      </w:pPr>
      <w:r>
        <w:rPr>
          <w:rFonts w:ascii="Arial" w:hAnsi="Arial" w:cs="Arial"/>
          <w:szCs w:val="20"/>
        </w:rPr>
        <w:t xml:space="preserve">Autrement dit, pour les gens du voyage, cette loi marque la fin de la </w:t>
      </w:r>
      <w:r w:rsidR="00D63584">
        <w:rPr>
          <w:rFonts w:ascii="Arial" w:hAnsi="Arial" w:cs="Arial"/>
          <w:szCs w:val="20"/>
        </w:rPr>
        <w:t xml:space="preserve">coexistence de deux dispositifs </w:t>
      </w:r>
      <w:r>
        <w:rPr>
          <w:rFonts w:ascii="Arial" w:hAnsi="Arial" w:cs="Arial"/>
          <w:szCs w:val="20"/>
        </w:rPr>
        <w:t>pour</w:t>
      </w:r>
      <w:r w:rsidR="00D63584">
        <w:rPr>
          <w:rFonts w:ascii="Arial" w:hAnsi="Arial" w:cs="Arial"/>
          <w:szCs w:val="20"/>
        </w:rPr>
        <w:t xml:space="preserve"> obtenir une adresse et exercer l'ensemble de leurs droits.</w:t>
      </w:r>
      <w:r>
        <w:rPr>
          <w:rFonts w:ascii="Arial" w:hAnsi="Arial" w:cs="Arial"/>
          <w:szCs w:val="20"/>
        </w:rPr>
        <w:t xml:space="preserve"> </w:t>
      </w:r>
      <w:r w:rsidR="00D63584">
        <w:rPr>
          <w:rFonts w:ascii="Arial" w:hAnsi="Arial" w:cs="Arial"/>
          <w:szCs w:val="20"/>
        </w:rPr>
        <w:t xml:space="preserve">Ils entrent pleinement dans le dispositif de domiciliation de droit commun. </w:t>
      </w:r>
    </w:p>
    <w:p w:rsidR="00D63584" w:rsidRDefault="00D63584" w:rsidP="00FA3D8C">
      <w:pPr>
        <w:pStyle w:val="Paragraphedeliste"/>
        <w:numPr>
          <w:ilvl w:val="0"/>
          <w:numId w:val="0"/>
        </w:numPr>
        <w:spacing w:line="240" w:lineRule="auto"/>
        <w:rPr>
          <w:rFonts w:ascii="Arial" w:hAnsi="Arial" w:cs="Arial"/>
          <w:szCs w:val="20"/>
        </w:rPr>
      </w:pPr>
    </w:p>
    <w:p w:rsidR="002A006F" w:rsidRPr="005B0063" w:rsidRDefault="002A006F" w:rsidP="00164682">
      <w:pPr>
        <w:pStyle w:val="Paragraphedeliste"/>
        <w:numPr>
          <w:ilvl w:val="0"/>
          <w:numId w:val="0"/>
        </w:numPr>
        <w:spacing w:line="240" w:lineRule="auto"/>
        <w:jc w:val="both"/>
      </w:pPr>
    </w:p>
    <w:p w:rsidR="002A006F" w:rsidRPr="00164682" w:rsidRDefault="002A006F" w:rsidP="005B0063">
      <w:pPr>
        <w:pStyle w:val="Commentaire"/>
        <w:jc w:val="both"/>
        <w:rPr>
          <w:color w:val="C90081" w:themeColor="accent3"/>
        </w:rPr>
      </w:pPr>
    </w:p>
    <w:p w:rsidR="002A006F" w:rsidRDefault="002A006F" w:rsidP="005B0063">
      <w:pPr>
        <w:pStyle w:val="Commentaire"/>
        <w:jc w:val="both"/>
        <w:rPr>
          <w:b/>
        </w:rPr>
      </w:pPr>
      <w:r w:rsidRPr="00164682">
        <w:rPr>
          <w:b/>
          <w:color w:val="C90081" w:themeColor="accent3"/>
        </w:rPr>
        <w:t>P</w:t>
      </w:r>
      <w:r w:rsidR="00DE03AE" w:rsidRPr="00164682">
        <w:rPr>
          <w:b/>
          <w:color w:val="C90081" w:themeColor="accent3"/>
        </w:rPr>
        <w:t xml:space="preserve">rocédure d’élection de domicile durant la période transitoire, soit </w:t>
      </w:r>
      <w:r w:rsidR="002002F7">
        <w:rPr>
          <w:b/>
          <w:color w:val="C90081" w:themeColor="accent3"/>
        </w:rPr>
        <w:t>jusqu’en</w:t>
      </w:r>
      <w:r w:rsidR="002002F7">
        <w:rPr>
          <w:b/>
        </w:rPr>
        <w:t xml:space="preserve"> janvier </w:t>
      </w:r>
      <w:proofErr w:type="gramStart"/>
      <w:r w:rsidR="002002F7">
        <w:rPr>
          <w:b/>
        </w:rPr>
        <w:t xml:space="preserve">2019 </w:t>
      </w:r>
      <w:r>
        <w:rPr>
          <w:b/>
        </w:rPr>
        <w:t> :</w:t>
      </w:r>
      <w:proofErr w:type="gramEnd"/>
    </w:p>
    <w:p w:rsidR="007A1608" w:rsidRDefault="007A1608" w:rsidP="005B0063">
      <w:pPr>
        <w:pStyle w:val="Commentaire"/>
        <w:jc w:val="both"/>
        <w:rPr>
          <w:b/>
        </w:rPr>
      </w:pPr>
    </w:p>
    <w:p w:rsidR="002A006F" w:rsidRDefault="002A006F" w:rsidP="005B0063">
      <w:pPr>
        <w:pStyle w:val="Commentaire"/>
        <w:jc w:val="both"/>
        <w:rPr>
          <w:b/>
        </w:rPr>
      </w:pPr>
      <w:r>
        <w:rPr>
          <w:b/>
        </w:rPr>
        <w:t>La personne auparavant rattachée à la commune et n’ayant pas établi de domicile ou élu domicile dans un autre organisme, doit pour élire domicile au sein du CCAS de la commune dans laquelle elle était rattachée :</w:t>
      </w:r>
    </w:p>
    <w:p w:rsidR="002A006F" w:rsidRDefault="002A006F" w:rsidP="005B0063">
      <w:pPr>
        <w:pStyle w:val="Commentaire"/>
        <w:numPr>
          <w:ilvl w:val="0"/>
          <w:numId w:val="14"/>
        </w:numPr>
        <w:jc w:val="both"/>
        <w:rPr>
          <w:b/>
        </w:rPr>
      </w:pPr>
      <w:r>
        <w:rPr>
          <w:b/>
        </w:rPr>
        <w:t xml:space="preserve">Se présenter </w:t>
      </w:r>
      <w:r w:rsidR="00042CC3" w:rsidRPr="002A006F">
        <w:rPr>
          <w:b/>
        </w:rPr>
        <w:t>auprès du CCAS</w:t>
      </w:r>
      <w:r w:rsidR="009A217F" w:rsidRPr="002A006F">
        <w:rPr>
          <w:b/>
        </w:rPr>
        <w:t xml:space="preserve"> de la commune dans laquelle elle était </w:t>
      </w:r>
      <w:r w:rsidR="00042CC3" w:rsidRPr="002A006F">
        <w:rPr>
          <w:b/>
        </w:rPr>
        <w:t>précédemment</w:t>
      </w:r>
      <w:r w:rsidR="009A217F" w:rsidRPr="002A006F">
        <w:rPr>
          <w:b/>
        </w:rPr>
        <w:t xml:space="preserve"> rattaché</w:t>
      </w:r>
      <w:r>
        <w:rPr>
          <w:b/>
        </w:rPr>
        <w:t>e.</w:t>
      </w:r>
    </w:p>
    <w:p w:rsidR="002A006F" w:rsidRPr="002A006F" w:rsidRDefault="002A006F" w:rsidP="005B0063">
      <w:pPr>
        <w:pStyle w:val="Commentaire"/>
        <w:numPr>
          <w:ilvl w:val="0"/>
          <w:numId w:val="14"/>
        </w:numPr>
        <w:jc w:val="both"/>
        <w:rPr>
          <w:b/>
        </w:rPr>
      </w:pPr>
      <w:r>
        <w:rPr>
          <w:b/>
        </w:rPr>
        <w:t xml:space="preserve">Elle doit être munie </w:t>
      </w:r>
      <w:r w:rsidR="007A1608">
        <w:rPr>
          <w:b/>
        </w:rPr>
        <w:t>des justificatifs prévus par le</w:t>
      </w:r>
      <w:r w:rsidR="009A217F" w:rsidRPr="002A006F">
        <w:rPr>
          <w:b/>
        </w:rPr>
        <w:t xml:space="preserve">: </w:t>
      </w:r>
      <w:hyperlink r:id="rId8" w:history="1">
        <w:r w:rsidRPr="002A006F">
          <w:rPr>
            <w:rFonts w:asciiTheme="majorHAnsi" w:eastAsiaTheme="minorHAnsi" w:hAnsiTheme="majorHAnsi" w:cstheme="majorHAnsi"/>
            <w:color w:val="0000FF"/>
            <w:u w:val="single"/>
          </w:rPr>
          <w:t>décret n°2017-1522</w:t>
        </w:r>
      </w:hyperlink>
      <w:r w:rsidRPr="002A006F">
        <w:rPr>
          <w:rFonts w:asciiTheme="majorHAnsi" w:eastAsiaTheme="minorHAnsi" w:hAnsiTheme="majorHAnsi" w:cstheme="majorHAnsi"/>
        </w:rPr>
        <w:t xml:space="preserve"> relatif aux personnes n'ayant en France ni domicile ni résidence fixe</w:t>
      </w:r>
      <w:r w:rsidR="007A1608">
        <w:rPr>
          <w:rFonts w:asciiTheme="majorHAnsi" w:eastAsiaTheme="minorHAnsi" w:hAnsiTheme="majorHAnsi" w:cstheme="majorHAnsi"/>
        </w:rPr>
        <w:t xml:space="preserve">. </w:t>
      </w:r>
      <w:r>
        <w:rPr>
          <w:rFonts w:asciiTheme="majorHAnsi" w:eastAsiaTheme="minorHAnsi" w:hAnsiTheme="majorHAnsi" w:cstheme="majorHAnsi"/>
        </w:rPr>
        <w:t>Selon, les cas, les personnes devront</w:t>
      </w:r>
      <w:r w:rsidR="007A1608">
        <w:rPr>
          <w:rFonts w:asciiTheme="majorHAnsi" w:eastAsiaTheme="minorHAnsi" w:hAnsiTheme="majorHAnsi" w:cstheme="majorHAnsi"/>
        </w:rPr>
        <w:t xml:space="preserve"> ainsi</w:t>
      </w:r>
      <w:r>
        <w:rPr>
          <w:rFonts w:asciiTheme="majorHAnsi" w:eastAsiaTheme="minorHAnsi" w:hAnsiTheme="majorHAnsi" w:cstheme="majorHAnsi"/>
        </w:rPr>
        <w:t> produire :</w:t>
      </w:r>
    </w:p>
    <w:p w:rsidR="002A006F" w:rsidRPr="002B3476" w:rsidRDefault="002A006F" w:rsidP="005B0063">
      <w:pPr>
        <w:pStyle w:val="Paragraphedeliste"/>
        <w:numPr>
          <w:ilvl w:val="0"/>
          <w:numId w:val="15"/>
        </w:numPr>
        <w:spacing w:line="240" w:lineRule="auto"/>
        <w:jc w:val="both"/>
        <w:rPr>
          <w:rFonts w:asciiTheme="majorHAnsi" w:hAnsiTheme="majorHAnsi" w:cstheme="majorHAnsi"/>
          <w:szCs w:val="20"/>
        </w:rPr>
      </w:pPr>
      <w:r w:rsidRPr="002B3476">
        <w:rPr>
          <w:rFonts w:asciiTheme="majorHAnsi" w:hAnsiTheme="majorHAnsi" w:cstheme="majorHAnsi"/>
          <w:szCs w:val="20"/>
        </w:rPr>
        <w:t>Un arrêté prononçant le rattachement de la personne concernée à une commune en cours de validité au 27 janvier 2017 ;</w:t>
      </w:r>
    </w:p>
    <w:p w:rsidR="002A006F" w:rsidRPr="002B3476" w:rsidRDefault="002A006F" w:rsidP="005B0063">
      <w:pPr>
        <w:pStyle w:val="Paragraphedeliste"/>
        <w:numPr>
          <w:ilvl w:val="0"/>
          <w:numId w:val="15"/>
        </w:numPr>
        <w:spacing w:line="240" w:lineRule="auto"/>
        <w:jc w:val="both"/>
        <w:rPr>
          <w:rFonts w:asciiTheme="majorHAnsi" w:hAnsiTheme="majorHAnsi" w:cstheme="majorHAnsi"/>
          <w:szCs w:val="20"/>
        </w:rPr>
      </w:pPr>
      <w:r w:rsidRPr="002B3476">
        <w:rPr>
          <w:rFonts w:asciiTheme="majorHAnsi" w:hAnsiTheme="majorHAnsi" w:cstheme="majorHAnsi"/>
          <w:szCs w:val="20"/>
        </w:rPr>
        <w:t>Un livret spécial ou un livret de circulation en cours de validité au 27 janvier 2017 ;</w:t>
      </w:r>
    </w:p>
    <w:p w:rsidR="002A006F" w:rsidRDefault="002A006F" w:rsidP="005B0063">
      <w:pPr>
        <w:pStyle w:val="Paragraphedeliste"/>
        <w:numPr>
          <w:ilvl w:val="0"/>
          <w:numId w:val="15"/>
        </w:numPr>
        <w:spacing w:line="240" w:lineRule="auto"/>
        <w:jc w:val="both"/>
        <w:rPr>
          <w:rFonts w:asciiTheme="majorHAnsi" w:hAnsiTheme="majorHAnsi" w:cstheme="majorHAnsi"/>
        </w:rPr>
      </w:pPr>
      <w:r w:rsidRPr="002B3476">
        <w:rPr>
          <w:rFonts w:asciiTheme="majorHAnsi" w:hAnsiTheme="majorHAnsi" w:cstheme="majorHAnsi"/>
          <w:szCs w:val="20"/>
        </w:rPr>
        <w:t>Un récépissé de dépôt d'une demande de prorogation de validité du livret spécial ou du livret de circulation en cours de validité au 27 janvier 2017 ;</w:t>
      </w:r>
    </w:p>
    <w:p w:rsidR="002A006F" w:rsidRDefault="002A006F" w:rsidP="005B0063">
      <w:pPr>
        <w:pStyle w:val="Paragraphedeliste"/>
        <w:numPr>
          <w:ilvl w:val="0"/>
          <w:numId w:val="15"/>
        </w:numPr>
        <w:spacing w:line="240" w:lineRule="auto"/>
        <w:jc w:val="both"/>
        <w:rPr>
          <w:rFonts w:asciiTheme="majorHAnsi" w:hAnsiTheme="majorHAnsi" w:cstheme="majorHAnsi"/>
        </w:rPr>
      </w:pPr>
      <w:r w:rsidRPr="005B0063">
        <w:rPr>
          <w:rFonts w:asciiTheme="majorHAnsi" w:hAnsiTheme="majorHAnsi" w:cstheme="majorHAnsi"/>
          <w:szCs w:val="20"/>
        </w:rPr>
        <w:t>Une attestation de perte, de vol, de destruction ou de détérioration du livret spécial ou du livret de circulation en cours de validité au 27 janvier 2017</w:t>
      </w:r>
    </w:p>
    <w:p w:rsidR="007A1608" w:rsidRPr="005B0063" w:rsidRDefault="007A1608" w:rsidP="005B0063">
      <w:pPr>
        <w:pStyle w:val="Paragraphedeliste"/>
        <w:numPr>
          <w:ilvl w:val="0"/>
          <w:numId w:val="16"/>
        </w:numPr>
        <w:spacing w:line="240" w:lineRule="auto"/>
        <w:jc w:val="both"/>
        <w:rPr>
          <w:rFonts w:asciiTheme="majorHAnsi" w:hAnsiTheme="majorHAnsi" w:cstheme="majorHAnsi"/>
        </w:rPr>
      </w:pPr>
      <w:r>
        <w:rPr>
          <w:rFonts w:asciiTheme="majorHAnsi" w:hAnsiTheme="majorHAnsi" w:cstheme="majorHAnsi"/>
          <w:szCs w:val="20"/>
        </w:rPr>
        <w:t xml:space="preserve">Aucun autre justificatif ne doit leur être demandé. </w:t>
      </w:r>
      <w:r>
        <w:rPr>
          <w:b/>
        </w:rPr>
        <w:t>Le CCAS ne peut</w:t>
      </w:r>
      <w:r w:rsidRPr="002A006F">
        <w:rPr>
          <w:b/>
        </w:rPr>
        <w:t xml:space="preserve"> légalement refuser cette demande</w:t>
      </w:r>
      <w:r>
        <w:rPr>
          <w:b/>
        </w:rPr>
        <w:t xml:space="preserve"> </w:t>
      </w:r>
      <w:r w:rsidRPr="005B0063">
        <w:t>et lui délivre alors l’attestation CERFA d’élection de domiciliation.</w:t>
      </w:r>
      <w:r>
        <w:rPr>
          <w:rFonts w:asciiTheme="majorHAnsi" w:hAnsiTheme="majorHAnsi" w:cstheme="majorHAnsi"/>
          <w:szCs w:val="20"/>
        </w:rPr>
        <w:t xml:space="preserve"> </w:t>
      </w:r>
    </w:p>
    <w:p w:rsidR="007A1608" w:rsidRPr="005B0063" w:rsidRDefault="007A1608" w:rsidP="005B0063">
      <w:pPr>
        <w:pStyle w:val="Paragraphedeliste"/>
        <w:numPr>
          <w:ilvl w:val="0"/>
          <w:numId w:val="16"/>
        </w:numPr>
        <w:spacing w:line="240" w:lineRule="auto"/>
        <w:jc w:val="both"/>
        <w:rPr>
          <w:rFonts w:asciiTheme="majorHAnsi" w:hAnsiTheme="majorHAnsi" w:cstheme="majorHAnsi"/>
        </w:rPr>
      </w:pPr>
      <w:r>
        <w:rPr>
          <w:rFonts w:asciiTheme="majorHAnsi" w:hAnsiTheme="majorHAnsi" w:cstheme="majorHAnsi"/>
          <w:szCs w:val="20"/>
        </w:rPr>
        <w:t>Jusqu’à la fin de la période transitoire, soit jusqu’en janvier 20</w:t>
      </w:r>
      <w:r w:rsidR="002002F7">
        <w:rPr>
          <w:rFonts w:asciiTheme="majorHAnsi" w:hAnsiTheme="majorHAnsi" w:cstheme="majorHAnsi"/>
          <w:szCs w:val="20"/>
        </w:rPr>
        <w:t>19</w:t>
      </w:r>
      <w:r>
        <w:rPr>
          <w:rFonts w:asciiTheme="majorHAnsi" w:hAnsiTheme="majorHAnsi" w:cstheme="majorHAnsi"/>
          <w:szCs w:val="20"/>
        </w:rPr>
        <w:t xml:space="preserve">, cette domiciliation ne peut être résiliée sans l’accord de la personne concernée. </w:t>
      </w:r>
      <w:r>
        <w:rPr>
          <w:b/>
        </w:rPr>
        <w:t xml:space="preserve">Il faut néanmoins les sensibiliser à l’importance de venir récupérer régulièrement son courrier. </w:t>
      </w:r>
    </w:p>
    <w:p w:rsidR="002A006F" w:rsidRDefault="002A006F" w:rsidP="002A006F">
      <w:pPr>
        <w:pStyle w:val="Commentaire"/>
        <w:ind w:left="720"/>
        <w:jc w:val="both"/>
      </w:pPr>
    </w:p>
    <w:p w:rsidR="002A006F" w:rsidRPr="00164682" w:rsidRDefault="002A006F" w:rsidP="002A006F">
      <w:pPr>
        <w:pStyle w:val="Commentaire"/>
        <w:ind w:left="720"/>
        <w:jc w:val="both"/>
        <w:rPr>
          <w:b/>
          <w:color w:val="C90081" w:themeColor="accent3"/>
        </w:rPr>
      </w:pPr>
    </w:p>
    <w:p w:rsidR="009A217F" w:rsidRPr="00164682" w:rsidRDefault="002002F7" w:rsidP="00164682">
      <w:pPr>
        <w:pStyle w:val="Commentaire"/>
        <w:jc w:val="both"/>
        <w:rPr>
          <w:b/>
          <w:color w:val="C90081" w:themeColor="accent3"/>
        </w:rPr>
      </w:pPr>
      <w:r w:rsidRPr="00164682">
        <w:rPr>
          <w:b/>
          <w:color w:val="C90081" w:themeColor="accent3"/>
        </w:rPr>
        <w:t>LA DOMICILIATION DES GENS DU VOYAGE EN CCAS :</w:t>
      </w:r>
    </w:p>
    <w:p w:rsidR="009A217F" w:rsidRDefault="009A217F" w:rsidP="00FC458D">
      <w:pPr>
        <w:jc w:val="both"/>
      </w:pPr>
    </w:p>
    <w:p w:rsidR="00FC458D" w:rsidRPr="00D63584" w:rsidRDefault="00D63584" w:rsidP="00FC458D">
      <w:pPr>
        <w:jc w:val="both"/>
        <w:rPr>
          <w:rFonts w:asciiTheme="majorHAnsi" w:hAnsiTheme="majorHAnsi" w:cstheme="majorHAnsi"/>
          <w:b/>
          <w:bCs/>
          <w:color w:val="C90081" w:themeColor="accent3"/>
          <w:szCs w:val="20"/>
        </w:rPr>
      </w:pPr>
      <w:r>
        <w:rPr>
          <w:rFonts w:asciiTheme="majorHAnsi" w:hAnsiTheme="majorHAnsi" w:cstheme="majorHAnsi"/>
          <w:b/>
          <w:bCs/>
          <w:color w:val="C90081" w:themeColor="accent3"/>
          <w:szCs w:val="20"/>
        </w:rPr>
        <w:t xml:space="preserve">Existe-t-il des règles spécifiques pour la domiciliation des gens du voyage ? </w:t>
      </w:r>
    </w:p>
    <w:p w:rsidR="009A217F" w:rsidRDefault="009A217F" w:rsidP="00FA3D8C">
      <w:pPr>
        <w:autoSpaceDE w:val="0"/>
        <w:autoSpaceDN w:val="0"/>
        <w:adjustRightInd w:val="0"/>
        <w:spacing w:line="240" w:lineRule="auto"/>
        <w:jc w:val="both"/>
        <w:rPr>
          <w:rFonts w:ascii="Arial" w:eastAsiaTheme="minorHAnsi" w:hAnsi="Arial" w:cs="Arial"/>
          <w:bCs/>
          <w:szCs w:val="20"/>
        </w:rPr>
      </w:pPr>
    </w:p>
    <w:p w:rsidR="00FA3D8C" w:rsidRDefault="009A217F" w:rsidP="00FA3D8C">
      <w:pPr>
        <w:autoSpaceDE w:val="0"/>
        <w:autoSpaceDN w:val="0"/>
        <w:adjustRightInd w:val="0"/>
        <w:spacing w:line="240" w:lineRule="auto"/>
        <w:jc w:val="both"/>
        <w:rPr>
          <w:rFonts w:ascii="Arial" w:eastAsiaTheme="minorHAnsi" w:hAnsi="Arial" w:cs="Arial"/>
          <w:bCs/>
          <w:szCs w:val="20"/>
        </w:rPr>
      </w:pPr>
      <w:r>
        <w:rPr>
          <w:rFonts w:ascii="Arial" w:eastAsiaTheme="minorHAnsi" w:hAnsi="Arial" w:cs="Arial"/>
          <w:bCs/>
          <w:szCs w:val="20"/>
        </w:rPr>
        <w:t xml:space="preserve">Non, comme auparavant, il n'existe pas de </w:t>
      </w:r>
      <w:r w:rsidR="00D63584">
        <w:rPr>
          <w:rFonts w:ascii="Arial" w:eastAsiaTheme="minorHAnsi" w:hAnsi="Arial" w:cs="Arial"/>
          <w:bCs/>
          <w:szCs w:val="20"/>
        </w:rPr>
        <w:t>règle spécifique pour l'accès à la domiciliation de ce public. L</w:t>
      </w:r>
      <w:r w:rsidR="00FA3D8C">
        <w:rPr>
          <w:rFonts w:ascii="Arial" w:eastAsiaTheme="minorHAnsi" w:hAnsi="Arial" w:cs="Arial"/>
          <w:bCs/>
          <w:szCs w:val="20"/>
        </w:rPr>
        <w:t xml:space="preserve">es </w:t>
      </w:r>
      <w:r w:rsidR="00FA3D8C" w:rsidRPr="006D1BD5">
        <w:rPr>
          <w:rFonts w:ascii="Arial" w:eastAsiaTheme="minorHAnsi" w:hAnsi="Arial" w:cs="Arial"/>
          <w:bCs/>
          <w:szCs w:val="20"/>
        </w:rPr>
        <w:t>gens du voyage</w:t>
      </w:r>
      <w:r w:rsidR="00D63584">
        <w:rPr>
          <w:rFonts w:ascii="Arial" w:eastAsiaTheme="minorHAnsi" w:hAnsi="Arial" w:cs="Arial"/>
          <w:bCs/>
          <w:szCs w:val="20"/>
        </w:rPr>
        <w:t>, comme toute</w:t>
      </w:r>
      <w:r w:rsidR="002002F7">
        <w:rPr>
          <w:rFonts w:ascii="Arial" w:eastAsiaTheme="minorHAnsi" w:hAnsi="Arial" w:cs="Arial"/>
          <w:bCs/>
          <w:szCs w:val="20"/>
        </w:rPr>
        <w:t>s</w:t>
      </w:r>
      <w:r w:rsidR="00D63584">
        <w:rPr>
          <w:rFonts w:ascii="Arial" w:eastAsiaTheme="minorHAnsi" w:hAnsi="Arial" w:cs="Arial"/>
          <w:bCs/>
          <w:szCs w:val="20"/>
        </w:rPr>
        <w:t xml:space="preserve"> personne</w:t>
      </w:r>
      <w:r w:rsidR="002002F7">
        <w:rPr>
          <w:rFonts w:ascii="Arial" w:eastAsiaTheme="minorHAnsi" w:hAnsi="Arial" w:cs="Arial"/>
          <w:bCs/>
          <w:szCs w:val="20"/>
        </w:rPr>
        <w:t>s</w:t>
      </w:r>
      <w:r w:rsidR="00D63584">
        <w:rPr>
          <w:rFonts w:ascii="Arial" w:eastAsiaTheme="minorHAnsi" w:hAnsi="Arial" w:cs="Arial"/>
          <w:bCs/>
          <w:szCs w:val="20"/>
        </w:rPr>
        <w:t xml:space="preserve"> sans domicile stable,</w:t>
      </w:r>
      <w:r w:rsidR="00FA3D8C" w:rsidRPr="006D1BD5">
        <w:rPr>
          <w:rFonts w:ascii="Arial" w:eastAsiaTheme="minorHAnsi" w:hAnsi="Arial" w:cs="Arial"/>
          <w:bCs/>
          <w:szCs w:val="20"/>
        </w:rPr>
        <w:t xml:space="preserve"> peuvent</w:t>
      </w:r>
      <w:r w:rsidR="00FA3D8C">
        <w:rPr>
          <w:rFonts w:ascii="Arial" w:eastAsiaTheme="minorHAnsi" w:hAnsi="Arial" w:cs="Arial"/>
          <w:bCs/>
          <w:szCs w:val="20"/>
        </w:rPr>
        <w:t xml:space="preserve"> élire domicile dans </w:t>
      </w:r>
      <w:r w:rsidR="00D63584">
        <w:rPr>
          <w:rFonts w:ascii="Arial" w:eastAsiaTheme="minorHAnsi" w:hAnsi="Arial" w:cs="Arial"/>
          <w:bCs/>
          <w:szCs w:val="20"/>
        </w:rPr>
        <w:t xml:space="preserve">le CCAS avec lequel ils </w:t>
      </w:r>
      <w:r w:rsidR="00953EA0">
        <w:rPr>
          <w:rFonts w:ascii="Arial" w:eastAsiaTheme="minorHAnsi" w:hAnsi="Arial" w:cs="Arial"/>
          <w:bCs/>
          <w:szCs w:val="20"/>
        </w:rPr>
        <w:t>peuvent justifier d’</w:t>
      </w:r>
      <w:r w:rsidR="00D63584">
        <w:rPr>
          <w:rFonts w:ascii="Arial" w:eastAsiaTheme="minorHAnsi" w:hAnsi="Arial" w:cs="Arial"/>
          <w:bCs/>
          <w:szCs w:val="20"/>
        </w:rPr>
        <w:t xml:space="preserve">un lien avec la commune. </w:t>
      </w:r>
    </w:p>
    <w:p w:rsidR="00FA3D8C" w:rsidRDefault="00FA3D8C" w:rsidP="00FC458D">
      <w:pPr>
        <w:jc w:val="both"/>
        <w:rPr>
          <w:rFonts w:asciiTheme="majorHAnsi" w:hAnsiTheme="majorHAnsi" w:cstheme="majorHAnsi"/>
          <w:b/>
          <w:bCs/>
          <w:szCs w:val="20"/>
        </w:rPr>
      </w:pPr>
    </w:p>
    <w:p w:rsidR="006D1BD5" w:rsidRPr="006D1BD5" w:rsidRDefault="00D63584" w:rsidP="006D1BD5">
      <w:pPr>
        <w:autoSpaceDE w:val="0"/>
        <w:autoSpaceDN w:val="0"/>
        <w:adjustRightInd w:val="0"/>
        <w:spacing w:line="240" w:lineRule="auto"/>
        <w:jc w:val="both"/>
        <w:rPr>
          <w:rFonts w:ascii="Arial" w:eastAsiaTheme="minorHAnsi" w:hAnsi="Arial" w:cs="Arial"/>
          <w:bCs/>
          <w:szCs w:val="20"/>
        </w:rPr>
      </w:pPr>
      <w:r w:rsidRPr="006D1BD5">
        <w:rPr>
          <w:rFonts w:ascii="Arial" w:eastAsiaTheme="minorHAnsi" w:hAnsi="Arial" w:cs="Arial"/>
          <w:bCs/>
          <w:szCs w:val="20"/>
        </w:rPr>
        <w:t xml:space="preserve">Pour les gens du voyage comme pour les autres personnes, c'est un critère matériel qu'il faut appliquer : </w:t>
      </w:r>
      <w:r w:rsidRPr="00164682">
        <w:rPr>
          <w:rFonts w:ascii="Arial" w:eastAsiaTheme="minorHAnsi" w:hAnsi="Arial" w:cs="Arial"/>
          <w:b/>
          <w:bCs/>
          <w:szCs w:val="20"/>
        </w:rPr>
        <w:t>le fait d'être ou non sans domicile stable.</w:t>
      </w:r>
      <w:r w:rsidRPr="006D1BD5">
        <w:rPr>
          <w:rFonts w:ascii="Arial" w:eastAsiaTheme="minorHAnsi" w:hAnsi="Arial" w:cs="Arial"/>
          <w:bCs/>
          <w:szCs w:val="20"/>
        </w:rPr>
        <w:t xml:space="preserve"> Les gens du voyage ayant un mode de vie sédentaire n'ont pas vocation à êt</w:t>
      </w:r>
      <w:r w:rsidR="009A217F">
        <w:rPr>
          <w:rFonts w:ascii="Arial" w:eastAsiaTheme="minorHAnsi" w:hAnsi="Arial" w:cs="Arial"/>
          <w:bCs/>
          <w:szCs w:val="20"/>
        </w:rPr>
        <w:t>re domicilié.</w:t>
      </w:r>
    </w:p>
    <w:p w:rsidR="006D1BD5" w:rsidRDefault="006D1BD5" w:rsidP="006D1BD5">
      <w:pPr>
        <w:autoSpaceDE w:val="0"/>
        <w:autoSpaceDN w:val="0"/>
        <w:adjustRightInd w:val="0"/>
        <w:spacing w:line="240" w:lineRule="auto"/>
        <w:jc w:val="both"/>
        <w:rPr>
          <w:rFonts w:ascii="Arial" w:eastAsiaTheme="minorHAnsi" w:hAnsi="Arial" w:cs="Arial"/>
          <w:bCs/>
          <w:szCs w:val="20"/>
        </w:rPr>
      </w:pPr>
    </w:p>
    <w:p w:rsidR="00256AE2" w:rsidRDefault="00256AE2" w:rsidP="00256AE2">
      <w:pPr>
        <w:autoSpaceDE w:val="0"/>
        <w:autoSpaceDN w:val="0"/>
        <w:adjustRightInd w:val="0"/>
        <w:spacing w:line="240" w:lineRule="auto"/>
        <w:jc w:val="both"/>
        <w:rPr>
          <w:rFonts w:asciiTheme="majorHAnsi" w:eastAsiaTheme="minorHAnsi" w:hAnsiTheme="majorHAnsi" w:cstheme="majorHAnsi"/>
          <w:szCs w:val="20"/>
        </w:rPr>
      </w:pPr>
    </w:p>
    <w:p w:rsidR="00256AE2" w:rsidRDefault="00256AE2" w:rsidP="00256AE2">
      <w:pPr>
        <w:autoSpaceDE w:val="0"/>
        <w:autoSpaceDN w:val="0"/>
        <w:adjustRightInd w:val="0"/>
        <w:spacing w:line="240" w:lineRule="auto"/>
        <w:jc w:val="both"/>
        <w:rPr>
          <w:rFonts w:asciiTheme="majorHAnsi" w:eastAsiaTheme="minorHAnsi" w:hAnsiTheme="majorHAnsi" w:cstheme="majorHAnsi"/>
          <w:szCs w:val="20"/>
          <w:highlight w:val="yellow"/>
        </w:rPr>
      </w:pPr>
      <w:r>
        <w:rPr>
          <w:rFonts w:asciiTheme="majorHAnsi" w:eastAsiaTheme="minorHAnsi" w:hAnsiTheme="majorHAnsi" w:cstheme="majorHAnsi"/>
          <w:szCs w:val="20"/>
        </w:rPr>
        <w:t xml:space="preserve">Pour aller plus loin : </w:t>
      </w:r>
      <w:r>
        <w:rPr>
          <w:rFonts w:asciiTheme="majorHAnsi" w:eastAsiaTheme="minorHAnsi" w:hAnsiTheme="majorHAnsi" w:cstheme="majorHAnsi"/>
          <w:szCs w:val="20"/>
          <w:highlight w:val="yellow"/>
        </w:rPr>
        <w:t>la « boite à outils » domiciliation de l’UNCCAS</w:t>
      </w:r>
    </w:p>
    <w:p w:rsidR="00256AE2" w:rsidRPr="006D1BD5" w:rsidRDefault="00256AE2" w:rsidP="006D1BD5">
      <w:pPr>
        <w:autoSpaceDE w:val="0"/>
        <w:autoSpaceDN w:val="0"/>
        <w:adjustRightInd w:val="0"/>
        <w:spacing w:line="240" w:lineRule="auto"/>
        <w:jc w:val="both"/>
        <w:rPr>
          <w:rFonts w:ascii="Arial" w:eastAsiaTheme="minorHAnsi" w:hAnsi="Arial" w:cs="Arial"/>
          <w:bCs/>
          <w:szCs w:val="20"/>
        </w:rPr>
      </w:pPr>
    </w:p>
    <w:sectPr w:rsidR="00256AE2" w:rsidRPr="006D1BD5" w:rsidSect="0084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BBB"/>
    <w:multiLevelType w:val="multilevel"/>
    <w:tmpl w:val="70FC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4652D"/>
    <w:multiLevelType w:val="hybridMultilevel"/>
    <w:tmpl w:val="7828F354"/>
    <w:lvl w:ilvl="0" w:tplc="C25E34FE">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2185BCD"/>
    <w:multiLevelType w:val="multilevel"/>
    <w:tmpl w:val="413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06FEC"/>
    <w:multiLevelType w:val="hybridMultilevel"/>
    <w:tmpl w:val="DE1803BE"/>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97226"/>
    <w:multiLevelType w:val="hybridMultilevel"/>
    <w:tmpl w:val="8A6A6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E7402"/>
    <w:multiLevelType w:val="hybridMultilevel"/>
    <w:tmpl w:val="73A2B262"/>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0E6911"/>
    <w:multiLevelType w:val="hybridMultilevel"/>
    <w:tmpl w:val="E75A0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F635C8"/>
    <w:multiLevelType w:val="hybridMultilevel"/>
    <w:tmpl w:val="9BD22E92"/>
    <w:lvl w:ilvl="0" w:tplc="1E7E4A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CF7355"/>
    <w:multiLevelType w:val="hybridMultilevel"/>
    <w:tmpl w:val="8E22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F31848"/>
    <w:multiLevelType w:val="hybridMultilevel"/>
    <w:tmpl w:val="83E66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68283D"/>
    <w:multiLevelType w:val="hybridMultilevel"/>
    <w:tmpl w:val="E076D10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B581B19"/>
    <w:multiLevelType w:val="hybridMultilevel"/>
    <w:tmpl w:val="AEE4D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761E0"/>
    <w:multiLevelType w:val="hybridMultilevel"/>
    <w:tmpl w:val="0FA0B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033677"/>
    <w:multiLevelType w:val="multilevel"/>
    <w:tmpl w:val="42E8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915A4"/>
    <w:multiLevelType w:val="hybridMultilevel"/>
    <w:tmpl w:val="841249A4"/>
    <w:lvl w:ilvl="0" w:tplc="6466157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3"/>
  </w:num>
  <w:num w:numId="5">
    <w:abstractNumId w:val="8"/>
  </w:num>
  <w:num w:numId="6">
    <w:abstractNumId w:val="5"/>
  </w:num>
  <w:num w:numId="7">
    <w:abstractNumId w:val="13"/>
  </w:num>
  <w:num w:numId="8">
    <w:abstractNumId w:val="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6"/>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3948"/>
    <w:rsid w:val="000075EC"/>
    <w:rsid w:val="00017B99"/>
    <w:rsid w:val="00024A4D"/>
    <w:rsid w:val="00033F43"/>
    <w:rsid w:val="00034065"/>
    <w:rsid w:val="00042CC3"/>
    <w:rsid w:val="00046B9F"/>
    <w:rsid w:val="00047D60"/>
    <w:rsid w:val="00054B0F"/>
    <w:rsid w:val="00056317"/>
    <w:rsid w:val="00062F9F"/>
    <w:rsid w:val="00065BE4"/>
    <w:rsid w:val="0007033D"/>
    <w:rsid w:val="000C02F4"/>
    <w:rsid w:val="000E24E7"/>
    <w:rsid w:val="000E77D7"/>
    <w:rsid w:val="000E7F31"/>
    <w:rsid w:val="0013330B"/>
    <w:rsid w:val="0014305C"/>
    <w:rsid w:val="0014351C"/>
    <w:rsid w:val="001438EF"/>
    <w:rsid w:val="001544BF"/>
    <w:rsid w:val="00160156"/>
    <w:rsid w:val="00164682"/>
    <w:rsid w:val="00195208"/>
    <w:rsid w:val="001A3151"/>
    <w:rsid w:val="001A66D4"/>
    <w:rsid w:val="001B30BC"/>
    <w:rsid w:val="001E3B0D"/>
    <w:rsid w:val="001F578B"/>
    <w:rsid w:val="002002F7"/>
    <w:rsid w:val="0020479D"/>
    <w:rsid w:val="002301BC"/>
    <w:rsid w:val="002309EB"/>
    <w:rsid w:val="00235B9F"/>
    <w:rsid w:val="00243649"/>
    <w:rsid w:val="00247AAD"/>
    <w:rsid w:val="00256AE2"/>
    <w:rsid w:val="00281B10"/>
    <w:rsid w:val="0028242A"/>
    <w:rsid w:val="00284D5A"/>
    <w:rsid w:val="002850C9"/>
    <w:rsid w:val="002A006F"/>
    <w:rsid w:val="002B4277"/>
    <w:rsid w:val="002C3948"/>
    <w:rsid w:val="002D72C9"/>
    <w:rsid w:val="00301E8E"/>
    <w:rsid w:val="00316E25"/>
    <w:rsid w:val="003463E8"/>
    <w:rsid w:val="003531CE"/>
    <w:rsid w:val="0037397F"/>
    <w:rsid w:val="00384E89"/>
    <w:rsid w:val="00390955"/>
    <w:rsid w:val="003938EA"/>
    <w:rsid w:val="003C1206"/>
    <w:rsid w:val="003E4E01"/>
    <w:rsid w:val="00400787"/>
    <w:rsid w:val="00406539"/>
    <w:rsid w:val="004123DE"/>
    <w:rsid w:val="00416C95"/>
    <w:rsid w:val="00446667"/>
    <w:rsid w:val="0044685C"/>
    <w:rsid w:val="004607CB"/>
    <w:rsid w:val="00467045"/>
    <w:rsid w:val="00482952"/>
    <w:rsid w:val="004937A5"/>
    <w:rsid w:val="004A3BD8"/>
    <w:rsid w:val="004A6CD7"/>
    <w:rsid w:val="004B52BA"/>
    <w:rsid w:val="004D73B7"/>
    <w:rsid w:val="004E6BEA"/>
    <w:rsid w:val="00504060"/>
    <w:rsid w:val="00505121"/>
    <w:rsid w:val="0052437D"/>
    <w:rsid w:val="00526992"/>
    <w:rsid w:val="00542317"/>
    <w:rsid w:val="005B0063"/>
    <w:rsid w:val="005B019B"/>
    <w:rsid w:val="005B504D"/>
    <w:rsid w:val="005C7FD5"/>
    <w:rsid w:val="005F02B8"/>
    <w:rsid w:val="005F56E0"/>
    <w:rsid w:val="006248F5"/>
    <w:rsid w:val="006369D5"/>
    <w:rsid w:val="00640F96"/>
    <w:rsid w:val="00653ECC"/>
    <w:rsid w:val="00656003"/>
    <w:rsid w:val="00670271"/>
    <w:rsid w:val="006765FC"/>
    <w:rsid w:val="006B053A"/>
    <w:rsid w:val="006C126B"/>
    <w:rsid w:val="006D1BD5"/>
    <w:rsid w:val="006D23FC"/>
    <w:rsid w:val="006D5B2C"/>
    <w:rsid w:val="006F681F"/>
    <w:rsid w:val="00702D4F"/>
    <w:rsid w:val="0070659F"/>
    <w:rsid w:val="00743B1B"/>
    <w:rsid w:val="0076042C"/>
    <w:rsid w:val="00763E3A"/>
    <w:rsid w:val="00766736"/>
    <w:rsid w:val="0077188A"/>
    <w:rsid w:val="00772AD2"/>
    <w:rsid w:val="007866F8"/>
    <w:rsid w:val="007A1608"/>
    <w:rsid w:val="007B1057"/>
    <w:rsid w:val="007B3894"/>
    <w:rsid w:val="007B5681"/>
    <w:rsid w:val="007C4501"/>
    <w:rsid w:val="007D152C"/>
    <w:rsid w:val="007D1AF6"/>
    <w:rsid w:val="007F69E7"/>
    <w:rsid w:val="0080219C"/>
    <w:rsid w:val="0081486D"/>
    <w:rsid w:val="00826AF9"/>
    <w:rsid w:val="00835D4B"/>
    <w:rsid w:val="00840F3A"/>
    <w:rsid w:val="008621EC"/>
    <w:rsid w:val="008946D7"/>
    <w:rsid w:val="008F1EF7"/>
    <w:rsid w:val="00900A25"/>
    <w:rsid w:val="00930A1A"/>
    <w:rsid w:val="00937B82"/>
    <w:rsid w:val="00942555"/>
    <w:rsid w:val="009538B6"/>
    <w:rsid w:val="00953EA0"/>
    <w:rsid w:val="009712AB"/>
    <w:rsid w:val="009A1D52"/>
    <w:rsid w:val="009A217F"/>
    <w:rsid w:val="009A2A71"/>
    <w:rsid w:val="009B7914"/>
    <w:rsid w:val="009C3923"/>
    <w:rsid w:val="009D43D8"/>
    <w:rsid w:val="009D43E5"/>
    <w:rsid w:val="009D7F1E"/>
    <w:rsid w:val="009E144B"/>
    <w:rsid w:val="009E322C"/>
    <w:rsid w:val="009F76D7"/>
    <w:rsid w:val="00A24817"/>
    <w:rsid w:val="00AA3504"/>
    <w:rsid w:val="00AB0919"/>
    <w:rsid w:val="00AC5F9D"/>
    <w:rsid w:val="00AD38C2"/>
    <w:rsid w:val="00AF14ED"/>
    <w:rsid w:val="00B22AB4"/>
    <w:rsid w:val="00B326A7"/>
    <w:rsid w:val="00B41A49"/>
    <w:rsid w:val="00B445CD"/>
    <w:rsid w:val="00B44ACA"/>
    <w:rsid w:val="00B44EB1"/>
    <w:rsid w:val="00B529D8"/>
    <w:rsid w:val="00B60146"/>
    <w:rsid w:val="00B735AD"/>
    <w:rsid w:val="00B83527"/>
    <w:rsid w:val="00BA0CA5"/>
    <w:rsid w:val="00BD5C96"/>
    <w:rsid w:val="00BF2A78"/>
    <w:rsid w:val="00C00021"/>
    <w:rsid w:val="00C0223F"/>
    <w:rsid w:val="00C257E4"/>
    <w:rsid w:val="00C661E6"/>
    <w:rsid w:val="00C854EC"/>
    <w:rsid w:val="00CC6438"/>
    <w:rsid w:val="00D041AC"/>
    <w:rsid w:val="00D21151"/>
    <w:rsid w:val="00D44954"/>
    <w:rsid w:val="00D5032C"/>
    <w:rsid w:val="00D63584"/>
    <w:rsid w:val="00D76912"/>
    <w:rsid w:val="00DA1A97"/>
    <w:rsid w:val="00DA24F3"/>
    <w:rsid w:val="00DC4160"/>
    <w:rsid w:val="00DE03AE"/>
    <w:rsid w:val="00E120E1"/>
    <w:rsid w:val="00E20BCD"/>
    <w:rsid w:val="00E21985"/>
    <w:rsid w:val="00E31595"/>
    <w:rsid w:val="00E66447"/>
    <w:rsid w:val="00E93B3C"/>
    <w:rsid w:val="00EA72A5"/>
    <w:rsid w:val="00EB1489"/>
    <w:rsid w:val="00EB6907"/>
    <w:rsid w:val="00EC30FD"/>
    <w:rsid w:val="00EC5BE1"/>
    <w:rsid w:val="00EE2DB8"/>
    <w:rsid w:val="00F118D3"/>
    <w:rsid w:val="00F23BFB"/>
    <w:rsid w:val="00F6230A"/>
    <w:rsid w:val="00F63174"/>
    <w:rsid w:val="00FA3D8C"/>
    <w:rsid w:val="00FB1744"/>
    <w:rsid w:val="00FB3770"/>
    <w:rsid w:val="00FB571D"/>
    <w:rsid w:val="00FC1F4F"/>
    <w:rsid w:val="00FC458D"/>
    <w:rsid w:val="00FD63FF"/>
    <w:rsid w:val="00FE6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03F73-A15C-4655-975E-A619E89F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948"/>
    <w:pPr>
      <w:spacing w:line="276" w:lineRule="auto"/>
    </w:pPr>
    <w:rPr>
      <w:rFonts w:asciiTheme="minorHAnsi" w:eastAsiaTheme="minorEastAsia" w:hAnsiTheme="minorHAnsi" w:cstheme="minorBidi"/>
      <w:sz w:val="20"/>
    </w:rPr>
  </w:style>
  <w:style w:type="paragraph" w:styleId="Titre1">
    <w:name w:val="heading 1"/>
    <w:basedOn w:val="Normal"/>
    <w:next w:val="Normal"/>
    <w:link w:val="Titre1Car"/>
    <w:uiPriority w:val="9"/>
    <w:qFormat/>
    <w:rsid w:val="00B326A7"/>
    <w:pPr>
      <w:spacing w:line="240" w:lineRule="auto"/>
      <w:ind w:firstLine="142"/>
      <w:jc w:val="center"/>
      <w:outlineLvl w:val="0"/>
    </w:pPr>
    <w:rPr>
      <w:rFonts w:asciiTheme="majorHAnsi" w:eastAsiaTheme="minorHAnsi" w:hAnsiTheme="majorHAnsi" w:cs="Arial"/>
      <w:b/>
      <w:color w:val="005B99" w:themeColor="accent1"/>
      <w:sz w:val="24"/>
      <w:szCs w:val="24"/>
    </w:rPr>
  </w:style>
  <w:style w:type="paragraph" w:styleId="Titre2">
    <w:name w:val="heading 2"/>
    <w:basedOn w:val="Normal"/>
    <w:next w:val="Normal"/>
    <w:link w:val="Titre2Car"/>
    <w:uiPriority w:val="9"/>
    <w:qFormat/>
    <w:rsid w:val="00B326A7"/>
    <w:pPr>
      <w:keepNext/>
      <w:spacing w:before="240" w:after="60"/>
      <w:jc w:val="both"/>
      <w:outlineLvl w:val="1"/>
    </w:pPr>
    <w:rPr>
      <w:rFonts w:ascii="Arial" w:eastAsiaTheme="minorHAnsi" w:hAnsi="Arial" w:cs="Arial"/>
      <w:b/>
      <w:bCs/>
      <w:iCs/>
      <w:color w:val="C90081" w:themeColor="accent3"/>
      <w:sz w:val="22"/>
      <w:szCs w:val="28"/>
    </w:rPr>
  </w:style>
  <w:style w:type="paragraph" w:styleId="Titre3">
    <w:name w:val="heading 3"/>
    <w:basedOn w:val="Titre2"/>
    <w:next w:val="Normal"/>
    <w:link w:val="Titre3Car"/>
    <w:uiPriority w:val="9"/>
    <w:qFormat/>
    <w:rsid w:val="00B326A7"/>
    <w:pPr>
      <w:spacing w:line="360" w:lineRule="auto"/>
      <w:ind w:left="589" w:hanging="589"/>
      <w:outlineLvl w:val="2"/>
    </w:pPr>
    <w:rPr>
      <w:rFonts w:asciiTheme="majorHAnsi" w:hAnsiTheme="majorHAnsi"/>
      <w:b w:val="0"/>
      <w:color w:val="005B99" w:themeColor="accent1"/>
      <w:sz w:val="20"/>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6A7"/>
    <w:rPr>
      <w:rFonts w:asciiTheme="majorHAnsi" w:hAnsiTheme="majorHAnsi" w:cs="Arial"/>
      <w:b/>
      <w:color w:val="005B99" w:themeColor="accent1"/>
      <w:sz w:val="24"/>
      <w:szCs w:val="24"/>
    </w:rPr>
  </w:style>
  <w:style w:type="character" w:customStyle="1" w:styleId="Titre2Car">
    <w:name w:val="Titre 2 Car"/>
    <w:basedOn w:val="Policepardfaut"/>
    <w:link w:val="Titre2"/>
    <w:uiPriority w:val="9"/>
    <w:rsid w:val="00B326A7"/>
    <w:rPr>
      <w:rFonts w:ascii="Arial" w:hAnsi="Arial" w:cs="Arial"/>
      <w:b/>
      <w:bCs/>
      <w:iCs/>
      <w:color w:val="C90081" w:themeColor="accent3"/>
      <w:szCs w:val="28"/>
    </w:rPr>
  </w:style>
  <w:style w:type="character" w:customStyle="1" w:styleId="Titre3Car">
    <w:name w:val="Titre 3 Car"/>
    <w:basedOn w:val="Policepardfaut"/>
    <w:link w:val="Titre3"/>
    <w:uiPriority w:val="9"/>
    <w:rsid w:val="00B326A7"/>
    <w:rPr>
      <w:rFonts w:asciiTheme="majorHAnsi" w:hAnsiTheme="majorHAnsi" w:cs="Arial"/>
      <w:bCs/>
      <w:iCs/>
      <w:color w:val="005B99" w:themeColor="accent1"/>
      <w:sz w:val="20"/>
      <w:u w:val="single"/>
    </w:rPr>
  </w:style>
  <w:style w:type="paragraph" w:styleId="Sous-titre">
    <w:name w:val="Subtitle"/>
    <w:basedOn w:val="Normal"/>
    <w:next w:val="Normal"/>
    <w:link w:val="Sous-titreCar"/>
    <w:uiPriority w:val="11"/>
    <w:qFormat/>
    <w:rsid w:val="00B326A7"/>
    <w:pPr>
      <w:numPr>
        <w:ilvl w:val="1"/>
      </w:numPr>
    </w:pPr>
    <w:rPr>
      <w:rFonts w:asciiTheme="majorHAnsi" w:eastAsiaTheme="majorEastAsia" w:hAnsiTheme="majorHAnsi" w:cstheme="majorBidi"/>
      <w:i/>
      <w:iCs/>
      <w:color w:val="005B99" w:themeColor="accent1"/>
      <w:spacing w:val="15"/>
      <w:sz w:val="24"/>
      <w:szCs w:val="24"/>
    </w:rPr>
  </w:style>
  <w:style w:type="character" w:customStyle="1" w:styleId="Sous-titreCar">
    <w:name w:val="Sous-titre Car"/>
    <w:basedOn w:val="Policepardfaut"/>
    <w:link w:val="Sous-titre"/>
    <w:uiPriority w:val="11"/>
    <w:rsid w:val="00B326A7"/>
    <w:rPr>
      <w:rFonts w:asciiTheme="majorHAnsi" w:eastAsiaTheme="majorEastAsia" w:hAnsiTheme="majorHAnsi" w:cstheme="majorBidi"/>
      <w:i/>
      <w:iCs/>
      <w:color w:val="005B99" w:themeColor="accent1"/>
      <w:spacing w:val="15"/>
      <w:sz w:val="24"/>
      <w:szCs w:val="24"/>
    </w:rPr>
  </w:style>
  <w:style w:type="character" w:styleId="lev">
    <w:name w:val="Strong"/>
    <w:basedOn w:val="Policepardfaut"/>
    <w:uiPriority w:val="22"/>
    <w:qFormat/>
    <w:rsid w:val="00B326A7"/>
    <w:rPr>
      <w:rFonts w:cs="Times New Roman"/>
      <w:b/>
      <w:bCs/>
    </w:rPr>
  </w:style>
  <w:style w:type="character" w:styleId="Accentuation">
    <w:name w:val="Emphasis"/>
    <w:basedOn w:val="Policepardfaut"/>
    <w:uiPriority w:val="20"/>
    <w:qFormat/>
    <w:rsid w:val="00B326A7"/>
    <w:rPr>
      <w:rFonts w:cs="Times New Roman"/>
      <w:i/>
      <w:iCs/>
    </w:rPr>
  </w:style>
  <w:style w:type="paragraph" w:styleId="Sansinterligne">
    <w:name w:val="No Spacing"/>
    <w:uiPriority w:val="1"/>
    <w:qFormat/>
    <w:rsid w:val="00B326A7"/>
    <w:rPr>
      <w:rFonts w:asciiTheme="minorHAnsi" w:hAnsiTheme="minorHAnsi"/>
      <w:sz w:val="20"/>
      <w:szCs w:val="24"/>
    </w:rPr>
  </w:style>
  <w:style w:type="paragraph" w:styleId="Paragraphedeliste">
    <w:name w:val="List Paragraph"/>
    <w:basedOn w:val="Normal"/>
    <w:link w:val="ParagraphedelisteCar"/>
    <w:uiPriority w:val="34"/>
    <w:qFormat/>
    <w:rsid w:val="00B326A7"/>
    <w:pPr>
      <w:numPr>
        <w:numId w:val="1"/>
      </w:numPr>
    </w:pPr>
    <w:rPr>
      <w:rFonts w:eastAsiaTheme="minorHAnsi" w:cstheme="minorHAnsi"/>
      <w:szCs w:val="24"/>
    </w:rPr>
  </w:style>
  <w:style w:type="character" w:customStyle="1" w:styleId="ParagraphedelisteCar">
    <w:name w:val="Paragraphe de liste Car"/>
    <w:basedOn w:val="Policepardfaut"/>
    <w:link w:val="Paragraphedeliste"/>
    <w:uiPriority w:val="34"/>
    <w:locked/>
    <w:rsid w:val="00B326A7"/>
    <w:rPr>
      <w:rFonts w:asciiTheme="minorHAnsi" w:hAnsiTheme="minorHAnsi" w:cstheme="minorHAnsi"/>
      <w:sz w:val="20"/>
      <w:szCs w:val="24"/>
    </w:rPr>
  </w:style>
  <w:style w:type="character" w:styleId="Titredulivre">
    <w:name w:val="Book Title"/>
    <w:basedOn w:val="Policepardfaut"/>
    <w:uiPriority w:val="33"/>
    <w:qFormat/>
    <w:rsid w:val="00B326A7"/>
    <w:rPr>
      <w:b/>
      <w:bCs/>
      <w:smallCaps/>
      <w:spacing w:val="5"/>
    </w:rPr>
  </w:style>
  <w:style w:type="paragraph" w:customStyle="1" w:styleId="Paragraphedeliste1">
    <w:name w:val="Paragraphe de liste1"/>
    <w:basedOn w:val="Normal"/>
    <w:qFormat/>
    <w:rsid w:val="00B326A7"/>
    <w:pPr>
      <w:contextualSpacing/>
    </w:pPr>
    <w:rPr>
      <w:rFonts w:ascii="Arial" w:eastAsia="PMingLiU" w:hAnsi="Arial" w:cs="Arial"/>
      <w:lang w:eastAsia="zh-TW" w:bidi="he-IL"/>
    </w:rPr>
  </w:style>
  <w:style w:type="character" w:styleId="Lienhypertexte">
    <w:name w:val="Hyperlink"/>
    <w:basedOn w:val="Policepardfaut"/>
    <w:uiPriority w:val="99"/>
    <w:unhideWhenUsed/>
    <w:rsid w:val="002C3948"/>
    <w:rPr>
      <w:color w:val="0000FF" w:themeColor="hyperlink"/>
      <w:u w:val="single"/>
    </w:rPr>
  </w:style>
  <w:style w:type="character" w:styleId="Lienhypertextesuivivisit">
    <w:name w:val="FollowedHyperlink"/>
    <w:basedOn w:val="Policepardfaut"/>
    <w:uiPriority w:val="99"/>
    <w:semiHidden/>
    <w:unhideWhenUsed/>
    <w:rsid w:val="001B30BC"/>
    <w:rPr>
      <w:color w:val="800080" w:themeColor="followedHyperlink"/>
      <w:u w:val="single"/>
    </w:rPr>
  </w:style>
  <w:style w:type="paragraph" w:styleId="NormalWeb">
    <w:name w:val="Normal (Web)"/>
    <w:basedOn w:val="Normal"/>
    <w:uiPriority w:val="99"/>
    <w:semiHidden/>
    <w:unhideWhenUsed/>
    <w:rsid w:val="006D1B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3BD8"/>
    <w:rPr>
      <w:sz w:val="16"/>
      <w:szCs w:val="16"/>
    </w:rPr>
  </w:style>
  <w:style w:type="paragraph" w:styleId="Commentaire">
    <w:name w:val="annotation text"/>
    <w:basedOn w:val="Normal"/>
    <w:link w:val="CommentaireCar"/>
    <w:uiPriority w:val="99"/>
    <w:unhideWhenUsed/>
    <w:rsid w:val="004A3BD8"/>
    <w:pPr>
      <w:spacing w:line="240" w:lineRule="auto"/>
    </w:pPr>
    <w:rPr>
      <w:szCs w:val="20"/>
    </w:rPr>
  </w:style>
  <w:style w:type="character" w:customStyle="1" w:styleId="CommentaireCar">
    <w:name w:val="Commentaire Car"/>
    <w:basedOn w:val="Policepardfaut"/>
    <w:link w:val="Commentaire"/>
    <w:uiPriority w:val="99"/>
    <w:rsid w:val="004A3BD8"/>
    <w:rPr>
      <w:rFonts w:asciiTheme="minorHAnsi" w:eastAsiaTheme="minorEastAsia"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4A3BD8"/>
    <w:rPr>
      <w:b/>
      <w:bCs/>
    </w:rPr>
  </w:style>
  <w:style w:type="character" w:customStyle="1" w:styleId="ObjetducommentaireCar">
    <w:name w:val="Objet du commentaire Car"/>
    <w:basedOn w:val="CommentaireCar"/>
    <w:link w:val="Objetducommentaire"/>
    <w:uiPriority w:val="99"/>
    <w:semiHidden/>
    <w:rsid w:val="004A3BD8"/>
    <w:rPr>
      <w:rFonts w:asciiTheme="minorHAnsi" w:eastAsiaTheme="minorEastAsia" w:hAnsiTheme="minorHAnsi" w:cstheme="minorBidi"/>
      <w:b/>
      <w:bCs/>
      <w:sz w:val="20"/>
      <w:szCs w:val="20"/>
    </w:rPr>
  </w:style>
  <w:style w:type="paragraph" w:styleId="Textedebulles">
    <w:name w:val="Balloon Text"/>
    <w:basedOn w:val="Normal"/>
    <w:link w:val="TextedebullesCar"/>
    <w:uiPriority w:val="99"/>
    <w:semiHidden/>
    <w:unhideWhenUsed/>
    <w:rsid w:val="004A3BD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B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6290">
      <w:bodyDiv w:val="1"/>
      <w:marLeft w:val="0"/>
      <w:marRight w:val="0"/>
      <w:marTop w:val="0"/>
      <w:marBottom w:val="0"/>
      <w:divBdr>
        <w:top w:val="none" w:sz="0" w:space="0" w:color="auto"/>
        <w:left w:val="none" w:sz="0" w:space="0" w:color="auto"/>
        <w:bottom w:val="none" w:sz="0" w:space="0" w:color="auto"/>
        <w:right w:val="none" w:sz="0" w:space="0" w:color="auto"/>
      </w:divBdr>
    </w:div>
    <w:div w:id="170603647">
      <w:bodyDiv w:val="1"/>
      <w:marLeft w:val="0"/>
      <w:marRight w:val="0"/>
      <w:marTop w:val="0"/>
      <w:marBottom w:val="0"/>
      <w:divBdr>
        <w:top w:val="none" w:sz="0" w:space="0" w:color="auto"/>
        <w:left w:val="none" w:sz="0" w:space="0" w:color="auto"/>
        <w:bottom w:val="none" w:sz="0" w:space="0" w:color="auto"/>
        <w:right w:val="none" w:sz="0" w:space="0" w:color="auto"/>
      </w:divBdr>
    </w:div>
    <w:div w:id="224605220">
      <w:bodyDiv w:val="1"/>
      <w:marLeft w:val="0"/>
      <w:marRight w:val="0"/>
      <w:marTop w:val="0"/>
      <w:marBottom w:val="0"/>
      <w:divBdr>
        <w:top w:val="none" w:sz="0" w:space="0" w:color="auto"/>
        <w:left w:val="none" w:sz="0" w:space="0" w:color="auto"/>
        <w:bottom w:val="none" w:sz="0" w:space="0" w:color="auto"/>
        <w:right w:val="none" w:sz="0" w:space="0" w:color="auto"/>
      </w:divBdr>
    </w:div>
    <w:div w:id="371199598">
      <w:bodyDiv w:val="1"/>
      <w:marLeft w:val="0"/>
      <w:marRight w:val="0"/>
      <w:marTop w:val="0"/>
      <w:marBottom w:val="0"/>
      <w:divBdr>
        <w:top w:val="none" w:sz="0" w:space="0" w:color="auto"/>
        <w:left w:val="none" w:sz="0" w:space="0" w:color="auto"/>
        <w:bottom w:val="none" w:sz="0" w:space="0" w:color="auto"/>
        <w:right w:val="none" w:sz="0" w:space="0" w:color="auto"/>
      </w:divBdr>
    </w:div>
    <w:div w:id="1021980653">
      <w:bodyDiv w:val="1"/>
      <w:marLeft w:val="0"/>
      <w:marRight w:val="0"/>
      <w:marTop w:val="0"/>
      <w:marBottom w:val="0"/>
      <w:divBdr>
        <w:top w:val="none" w:sz="0" w:space="0" w:color="auto"/>
        <w:left w:val="none" w:sz="0" w:space="0" w:color="auto"/>
        <w:bottom w:val="none" w:sz="0" w:space="0" w:color="auto"/>
        <w:right w:val="none" w:sz="0" w:space="0" w:color="auto"/>
      </w:divBdr>
    </w:div>
    <w:div w:id="1414815892">
      <w:bodyDiv w:val="1"/>
      <w:marLeft w:val="0"/>
      <w:marRight w:val="0"/>
      <w:marTop w:val="0"/>
      <w:marBottom w:val="0"/>
      <w:divBdr>
        <w:top w:val="none" w:sz="0" w:space="0" w:color="auto"/>
        <w:left w:val="none" w:sz="0" w:space="0" w:color="auto"/>
        <w:bottom w:val="none" w:sz="0" w:space="0" w:color="auto"/>
        <w:right w:val="none" w:sz="0" w:space="0" w:color="auto"/>
      </w:divBdr>
    </w:div>
    <w:div w:id="1567256221">
      <w:bodyDiv w:val="1"/>
      <w:marLeft w:val="0"/>
      <w:marRight w:val="0"/>
      <w:marTop w:val="0"/>
      <w:marBottom w:val="0"/>
      <w:divBdr>
        <w:top w:val="none" w:sz="0" w:space="0" w:color="auto"/>
        <w:left w:val="none" w:sz="0" w:space="0" w:color="auto"/>
        <w:bottom w:val="none" w:sz="0" w:space="0" w:color="auto"/>
        <w:right w:val="none" w:sz="0" w:space="0" w:color="auto"/>
      </w:divBdr>
    </w:div>
    <w:div w:id="1628660328">
      <w:bodyDiv w:val="1"/>
      <w:marLeft w:val="0"/>
      <w:marRight w:val="0"/>
      <w:marTop w:val="0"/>
      <w:marBottom w:val="0"/>
      <w:divBdr>
        <w:top w:val="none" w:sz="0" w:space="0" w:color="auto"/>
        <w:left w:val="none" w:sz="0" w:space="0" w:color="auto"/>
        <w:bottom w:val="none" w:sz="0" w:space="0" w:color="auto"/>
        <w:right w:val="none" w:sz="0" w:space="0" w:color="auto"/>
      </w:divBdr>
    </w:div>
    <w:div w:id="1897354527">
      <w:bodyDiv w:val="1"/>
      <w:marLeft w:val="0"/>
      <w:marRight w:val="0"/>
      <w:marTop w:val="0"/>
      <w:marBottom w:val="0"/>
      <w:divBdr>
        <w:top w:val="none" w:sz="0" w:space="0" w:color="auto"/>
        <w:left w:val="none" w:sz="0" w:space="0" w:color="auto"/>
        <w:bottom w:val="none" w:sz="0" w:space="0" w:color="auto"/>
        <w:right w:val="none" w:sz="0" w:space="0" w:color="auto"/>
      </w:divBdr>
    </w:div>
    <w:div w:id="1945649800">
      <w:bodyDiv w:val="1"/>
      <w:marLeft w:val="0"/>
      <w:marRight w:val="0"/>
      <w:marTop w:val="0"/>
      <w:marBottom w:val="0"/>
      <w:divBdr>
        <w:top w:val="none" w:sz="0" w:space="0" w:color="auto"/>
        <w:left w:val="none" w:sz="0" w:space="0" w:color="auto"/>
        <w:bottom w:val="none" w:sz="0" w:space="0" w:color="auto"/>
        <w:right w:val="none" w:sz="0" w:space="0" w:color="auto"/>
      </w:divBdr>
    </w:div>
    <w:div w:id="20763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5967026&amp;amp;amp&amp;amp;amp;oldAction=rechJO&amp;amp;amp&amp;amp;amp;idJO=JORFCONT000035967021" TargetMode="External"/><Relationship Id="rId3" Type="http://schemas.openxmlformats.org/officeDocument/2006/relationships/styles" Target="styles.xml"/><Relationship Id="rId7" Type="http://schemas.openxmlformats.org/officeDocument/2006/relationships/hyperlink" Target="https://www.legifrance.gouv.fr/affichTexte.do?cidTexte=JORFTEXT000033934948&amp;categorieLien=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UNCCAS">
      <a:dk1>
        <a:sysClr val="windowText" lastClr="000000"/>
      </a:dk1>
      <a:lt1>
        <a:sysClr val="window" lastClr="FFFFFF"/>
      </a:lt1>
      <a:dk2>
        <a:srgbClr val="1F497D"/>
      </a:dk2>
      <a:lt2>
        <a:srgbClr val="EEECE1"/>
      </a:lt2>
      <a:accent1>
        <a:srgbClr val="005B99"/>
      </a:accent1>
      <a:accent2>
        <a:srgbClr val="FFC61E"/>
      </a:accent2>
      <a:accent3>
        <a:srgbClr val="C90081"/>
      </a:accent3>
      <a:accent4>
        <a:srgbClr val="56AA1C"/>
      </a:accent4>
      <a:accent5>
        <a:srgbClr val="F77F00"/>
      </a:accent5>
      <a:accent6>
        <a:srgbClr val="00A6EB"/>
      </a:accent6>
      <a:hlink>
        <a:srgbClr val="0000FF"/>
      </a:hlink>
      <a:folHlink>
        <a:srgbClr val="800080"/>
      </a:folHlink>
    </a:clrScheme>
    <a:fontScheme name="UNCC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4ED6-69E3-4C2C-841E-19179F2B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dc:creator>
  <cp:lastModifiedBy>Antoine MATH</cp:lastModifiedBy>
  <cp:revision>2</cp:revision>
  <dcterms:created xsi:type="dcterms:W3CDTF">2019-02-12T10:28:00Z</dcterms:created>
  <dcterms:modified xsi:type="dcterms:W3CDTF">2019-02-12T10:28:00Z</dcterms:modified>
</cp:coreProperties>
</file>